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7471" w14:textId="77777777" w:rsidR="00691C7B" w:rsidRPr="00160103" w:rsidRDefault="00691C7B" w:rsidP="00691C7B">
      <w:pPr>
        <w:spacing w:after="0" w:line="240" w:lineRule="auto"/>
        <w:jc w:val="center"/>
        <w:rPr>
          <w:rFonts w:ascii="Barlow" w:hAnsi="Barlow" w:cs="Tahoma"/>
          <w:b/>
          <w:bCs/>
          <w:sz w:val="28"/>
          <w:szCs w:val="28"/>
        </w:rPr>
      </w:pPr>
      <w:bookmarkStart w:id="0" w:name="_Hlk46721501"/>
      <w:bookmarkStart w:id="1" w:name="_Hlk45756495"/>
      <w:r w:rsidRPr="00160103">
        <w:rPr>
          <w:rFonts w:ascii="Barlow" w:hAnsi="Barlow" w:cs="Tahoma"/>
          <w:b/>
          <w:bCs/>
          <w:sz w:val="28"/>
          <w:szCs w:val="28"/>
        </w:rPr>
        <w:t>Physical Education Teachers</w:t>
      </w:r>
      <w:r w:rsidR="00C13FDD">
        <w:rPr>
          <w:rFonts w:ascii="Barlow" w:hAnsi="Barlow" w:cs="Tahoma"/>
          <w:b/>
          <w:bCs/>
          <w:sz w:val="28"/>
          <w:szCs w:val="28"/>
        </w:rPr>
        <w:t>'</w:t>
      </w:r>
      <w:r w:rsidRPr="00160103">
        <w:rPr>
          <w:rFonts w:ascii="Barlow" w:hAnsi="Barlow" w:cs="Tahoma"/>
          <w:b/>
          <w:bCs/>
          <w:sz w:val="28"/>
          <w:szCs w:val="28"/>
        </w:rPr>
        <w:t xml:space="preserve"> Perceptions of Inclusive Learning in Elementary Schools, Martapura District</w:t>
      </w:r>
    </w:p>
    <w:p w14:paraId="4744E8B2" w14:textId="77777777" w:rsidR="00691C7B" w:rsidRPr="00160103" w:rsidRDefault="00691C7B" w:rsidP="00691C7B">
      <w:pPr>
        <w:spacing w:after="0" w:line="240" w:lineRule="auto"/>
        <w:jc w:val="center"/>
        <w:rPr>
          <w:rFonts w:ascii="Barlow" w:hAnsi="Barlow" w:cs="Tahoma"/>
          <w:b/>
          <w:bCs/>
          <w:sz w:val="28"/>
          <w:szCs w:val="28"/>
        </w:rPr>
      </w:pPr>
    </w:p>
    <w:p w14:paraId="399FBFBE" w14:textId="77777777" w:rsidR="00691C7B" w:rsidRPr="00C13FDD" w:rsidRDefault="00691C7B" w:rsidP="00691C7B">
      <w:pPr>
        <w:spacing w:after="0" w:line="240" w:lineRule="auto"/>
        <w:jc w:val="center"/>
        <w:rPr>
          <w:rFonts w:ascii="Barlow" w:hAnsi="Barlow" w:cs="Tahoma"/>
          <w:b/>
          <w:bCs/>
        </w:rPr>
      </w:pPr>
      <w:r w:rsidRPr="00160103">
        <w:rPr>
          <w:rFonts w:ascii="Barlow" w:hAnsi="Barlow" w:cs="Tahoma"/>
          <w:b/>
          <w:bCs/>
          <w:sz w:val="28"/>
          <w:szCs w:val="28"/>
        </w:rPr>
        <w:t xml:space="preserve">     </w:t>
      </w:r>
      <w:r w:rsidRPr="00C13FDD">
        <w:rPr>
          <w:rFonts w:ascii="Barlow" w:hAnsi="Barlow" w:cs="Tahoma"/>
          <w:b/>
          <w:bCs/>
        </w:rPr>
        <w:t>Rahma Azizah</w:t>
      </w:r>
      <w:r w:rsidRPr="00C13FDD">
        <w:rPr>
          <w:rFonts w:ascii="Barlow" w:hAnsi="Barlow" w:cs="Tahoma"/>
          <w:b/>
          <w:bCs/>
          <w:vertAlign w:val="superscript"/>
        </w:rPr>
        <w:t>1</w:t>
      </w:r>
      <w:r w:rsidR="00160103" w:rsidRPr="00C13FDD">
        <w:rPr>
          <w:rFonts w:ascii="Barlow" w:hAnsi="Barlow" w:cs="Tahoma"/>
          <w:b/>
          <w:bCs/>
          <w:vertAlign w:val="superscript"/>
        </w:rPr>
        <w:t>A-E</w:t>
      </w:r>
      <w:r w:rsidRPr="00C13FDD">
        <w:rPr>
          <w:rFonts w:ascii="Barlow" w:hAnsi="Barlow" w:cs="Tahoma"/>
          <w:b/>
          <w:bCs/>
          <w:vertAlign w:val="superscript"/>
        </w:rPr>
        <w:t>*</w:t>
      </w:r>
      <w:r w:rsidRPr="00C13FDD">
        <w:rPr>
          <w:rFonts w:ascii="Barlow" w:hAnsi="Barlow" w:cs="Tahoma"/>
          <w:b/>
          <w:bCs/>
        </w:rPr>
        <w:t>, Rahmadi</w:t>
      </w:r>
      <w:r w:rsidRPr="00C13FDD">
        <w:rPr>
          <w:rFonts w:ascii="Barlow" w:hAnsi="Barlow" w:cs="Tahoma"/>
          <w:b/>
          <w:bCs/>
          <w:vertAlign w:val="superscript"/>
        </w:rPr>
        <w:t>2</w:t>
      </w:r>
      <w:r w:rsidR="00160103" w:rsidRPr="00C13FDD">
        <w:rPr>
          <w:rFonts w:ascii="Barlow" w:hAnsi="Barlow" w:cs="Tahoma"/>
          <w:b/>
          <w:bCs/>
          <w:vertAlign w:val="superscript"/>
        </w:rPr>
        <w:t>B-D</w:t>
      </w:r>
      <w:r w:rsidRPr="00C13FDD">
        <w:rPr>
          <w:rFonts w:ascii="Barlow" w:hAnsi="Barlow" w:cs="Tahoma"/>
          <w:b/>
          <w:bCs/>
        </w:rPr>
        <w:t>, Recky Ahmad Haffyandi</w:t>
      </w:r>
      <w:r w:rsidRPr="00C13FDD">
        <w:rPr>
          <w:rFonts w:ascii="Barlow" w:hAnsi="Barlow" w:cs="Tahoma"/>
          <w:b/>
          <w:bCs/>
          <w:vertAlign w:val="superscript"/>
        </w:rPr>
        <w:t>3</w:t>
      </w:r>
      <w:r w:rsidR="00160103" w:rsidRPr="00C13FDD">
        <w:rPr>
          <w:rFonts w:ascii="Barlow" w:hAnsi="Barlow" w:cs="Tahoma"/>
          <w:b/>
          <w:bCs/>
          <w:vertAlign w:val="superscript"/>
        </w:rPr>
        <w:t>B-D</w:t>
      </w:r>
    </w:p>
    <w:p w14:paraId="408BB603" w14:textId="77777777" w:rsidR="00691C7B" w:rsidRPr="00160103" w:rsidRDefault="00160103" w:rsidP="00160103">
      <w:pPr>
        <w:spacing w:before="120" w:after="120" w:line="240" w:lineRule="auto"/>
        <w:jc w:val="center"/>
        <w:rPr>
          <w:rFonts w:ascii="Barlow" w:hAnsi="Barlow" w:cs="Tahoma"/>
          <w:sz w:val="20"/>
          <w:szCs w:val="20"/>
        </w:rPr>
      </w:pPr>
      <w:r w:rsidRPr="007760B6">
        <w:rPr>
          <w:rFonts w:ascii="Barlow" w:hAnsi="Barlow" w:cs="Tahoma"/>
          <w:sz w:val="20"/>
          <w:szCs w:val="20"/>
          <w:vertAlign w:val="superscript"/>
        </w:rPr>
        <w:t>1</w:t>
      </w:r>
      <w:r>
        <w:rPr>
          <w:rFonts w:ascii="Barlow" w:hAnsi="Barlow" w:cs="Tahoma"/>
          <w:sz w:val="20"/>
          <w:szCs w:val="20"/>
          <w:vertAlign w:val="superscript"/>
        </w:rPr>
        <w:t>,2,3</w:t>
      </w:r>
      <w:r w:rsidRPr="007760B6">
        <w:rPr>
          <w:rFonts w:ascii="Barlow" w:hAnsi="Barlow" w:cs="Tahoma"/>
          <w:sz w:val="20"/>
          <w:szCs w:val="20"/>
        </w:rPr>
        <w:t xml:space="preserve"> </w:t>
      </w:r>
      <w:r w:rsidR="00AB28AB">
        <w:rPr>
          <w:rFonts w:ascii="Barlow" w:hAnsi="Barlow" w:cs="Tahoma"/>
          <w:sz w:val="20"/>
          <w:szCs w:val="20"/>
        </w:rPr>
        <w:t>Universitas Lambung Mangkurat</w:t>
      </w:r>
      <w:r>
        <w:rPr>
          <w:rFonts w:ascii="Barlow" w:hAnsi="Barlow" w:cs="Tahoma"/>
          <w:sz w:val="20"/>
          <w:szCs w:val="20"/>
        </w:rPr>
        <w:t>,</w:t>
      </w:r>
      <w:r w:rsidRPr="007760B6">
        <w:rPr>
          <w:rFonts w:ascii="Barlow" w:hAnsi="Barlow" w:cs="Tahoma"/>
          <w:sz w:val="20"/>
          <w:szCs w:val="20"/>
        </w:rPr>
        <w:t xml:space="preserve"> South Kalimantan</w:t>
      </w:r>
      <w:r>
        <w:rPr>
          <w:rFonts w:ascii="Barlow" w:hAnsi="Barlow" w:cs="Tahoma"/>
          <w:sz w:val="20"/>
          <w:szCs w:val="20"/>
        </w:rPr>
        <w:t xml:space="preserve">, </w:t>
      </w:r>
      <w:r w:rsidRPr="007760B6">
        <w:rPr>
          <w:rFonts w:ascii="Barlow" w:hAnsi="Barlow" w:cs="Tahoma"/>
          <w:sz w:val="20"/>
          <w:szCs w:val="20"/>
        </w:rPr>
        <w:t>Indonesia</w:t>
      </w:r>
    </w:p>
    <w:p w14:paraId="4AD270B3" w14:textId="77777777" w:rsidR="00D73740" w:rsidRPr="00EF7B87" w:rsidRDefault="00160103" w:rsidP="00691C7B">
      <w:pPr>
        <w:spacing w:after="0" w:line="240" w:lineRule="auto"/>
        <w:jc w:val="center"/>
        <w:rPr>
          <w:rFonts w:ascii="Barlow" w:hAnsi="Barlow" w:cs="Tahoma"/>
          <w:sz w:val="20"/>
          <w:szCs w:val="20"/>
          <w:lang w:val="sv-SE"/>
        </w:rPr>
      </w:pPr>
      <w:hyperlink r:id="rId8" w:history="1">
        <w:r w:rsidRPr="00A10055">
          <w:rPr>
            <w:rStyle w:val="Hyperlink"/>
            <w:rFonts w:ascii="Barlow" w:hAnsi="Barlow" w:cs="Tahoma"/>
            <w:sz w:val="20"/>
            <w:szCs w:val="20"/>
          </w:rPr>
          <w:t>903rahmaazizah@gmail.com</w:t>
        </w:r>
        <w:r w:rsidRPr="00A10055">
          <w:rPr>
            <w:rStyle w:val="Hyperlink"/>
            <w:rFonts w:ascii="Barlow" w:hAnsi="Barlow" w:cs="Tahoma"/>
            <w:sz w:val="20"/>
            <w:szCs w:val="20"/>
            <w:vertAlign w:val="superscript"/>
          </w:rPr>
          <w:t>1</w:t>
        </w:r>
      </w:hyperlink>
      <w:r w:rsidR="00691C7B" w:rsidRPr="00160103">
        <w:rPr>
          <w:rFonts w:ascii="Barlow" w:hAnsi="Barlow" w:cs="Tahoma"/>
          <w:sz w:val="20"/>
          <w:szCs w:val="20"/>
        </w:rPr>
        <w:t>,</w:t>
      </w:r>
      <w:r>
        <w:rPr>
          <w:rFonts w:ascii="Barlow" w:hAnsi="Barlow" w:cs="Tahoma"/>
          <w:sz w:val="20"/>
          <w:szCs w:val="20"/>
        </w:rPr>
        <w:t xml:space="preserve"> </w:t>
      </w:r>
      <w:hyperlink r:id="rId9" w:history="1">
        <w:r w:rsidR="00C13FDD" w:rsidRPr="00A10055">
          <w:rPr>
            <w:rStyle w:val="Hyperlink"/>
            <w:rFonts w:ascii="Barlow" w:hAnsi="Barlow" w:cs="Tahoma"/>
            <w:sz w:val="20"/>
            <w:szCs w:val="20"/>
          </w:rPr>
          <w:t>rahmadi@ulm.ac.id</w:t>
        </w:r>
        <w:r w:rsidR="00C13FDD" w:rsidRPr="00A10055">
          <w:rPr>
            <w:rStyle w:val="Hyperlink"/>
            <w:rFonts w:ascii="Barlow" w:hAnsi="Barlow" w:cs="Tahoma"/>
            <w:sz w:val="20"/>
            <w:szCs w:val="20"/>
            <w:vertAlign w:val="superscript"/>
          </w:rPr>
          <w:t>2</w:t>
        </w:r>
      </w:hyperlink>
      <w:r w:rsidR="00691C7B" w:rsidRPr="00160103">
        <w:rPr>
          <w:rFonts w:ascii="Barlow" w:hAnsi="Barlow" w:cs="Tahoma"/>
          <w:sz w:val="20"/>
          <w:szCs w:val="20"/>
        </w:rPr>
        <w:t>,</w:t>
      </w:r>
      <w:r w:rsidR="00C13FDD">
        <w:rPr>
          <w:rFonts w:ascii="Barlow" w:hAnsi="Barlow" w:cs="Tahoma"/>
          <w:sz w:val="20"/>
          <w:szCs w:val="20"/>
        </w:rPr>
        <w:t xml:space="preserve"> </w:t>
      </w:r>
      <w:hyperlink r:id="rId10" w:history="1">
        <w:r w:rsidR="00C13FDD" w:rsidRPr="00A10055">
          <w:rPr>
            <w:rStyle w:val="Hyperlink"/>
            <w:rFonts w:ascii="Barlow" w:hAnsi="Barlow" w:cs="Tahoma"/>
            <w:sz w:val="20"/>
            <w:szCs w:val="20"/>
          </w:rPr>
          <w:t>recky.haffyandi@ulm.ac.id</w:t>
        </w:r>
        <w:r w:rsidR="00C13FDD" w:rsidRPr="00EF7B87">
          <w:rPr>
            <w:rStyle w:val="Hyperlink"/>
            <w:rFonts w:ascii="Barlow" w:hAnsi="Barlow" w:cs="Tahoma"/>
            <w:sz w:val="20"/>
            <w:szCs w:val="20"/>
            <w:vertAlign w:val="superscript"/>
            <w:lang w:val="sv-SE"/>
          </w:rPr>
          <w:t>3</w:t>
        </w:r>
      </w:hyperlink>
      <w:r w:rsidR="00C13FDD" w:rsidRPr="00EF7B87">
        <w:rPr>
          <w:rFonts w:ascii="Barlow" w:hAnsi="Barlow" w:cs="Tahoma"/>
          <w:color w:val="3333FF"/>
          <w:sz w:val="20"/>
          <w:szCs w:val="20"/>
          <w:vertAlign w:val="superscript"/>
          <w:lang w:val="sv-SE"/>
        </w:rPr>
        <w:t xml:space="preserve"> </w:t>
      </w:r>
    </w:p>
    <w:p w14:paraId="063A542E" w14:textId="77777777" w:rsidR="00D73740" w:rsidRPr="00EF7B87" w:rsidRDefault="00D73740" w:rsidP="00691C7B">
      <w:pPr>
        <w:spacing w:after="0" w:line="240" w:lineRule="auto"/>
        <w:rPr>
          <w:rFonts w:ascii="Barlow" w:hAnsi="Barlow" w:cs="Tahoma"/>
          <w:sz w:val="20"/>
          <w:lang w:val="sv-SE"/>
        </w:rPr>
      </w:pPr>
    </w:p>
    <w:tbl>
      <w:tblPr>
        <w:tblStyle w:val="TableGrid"/>
        <w:tblW w:w="907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283"/>
        <w:gridCol w:w="2410"/>
      </w:tblGrid>
      <w:tr w:rsidR="00C44E95" w:rsidRPr="00160103" w14:paraId="68D8E6AC" w14:textId="77777777" w:rsidTr="00E066D4">
        <w:trPr>
          <w:trHeight w:val="269"/>
        </w:trPr>
        <w:tc>
          <w:tcPr>
            <w:tcW w:w="6379" w:type="dxa"/>
            <w:vMerge w:val="restart"/>
            <w:tcBorders>
              <w:top w:val="single" w:sz="12" w:space="0" w:color="auto"/>
            </w:tcBorders>
          </w:tcPr>
          <w:p w14:paraId="06BC1153" w14:textId="77777777" w:rsidR="00C44E95" w:rsidRPr="00160103" w:rsidRDefault="00C44E95" w:rsidP="00761C42">
            <w:pPr>
              <w:spacing w:before="120" w:after="120"/>
              <w:ind w:left="-108" w:right="33"/>
              <w:jc w:val="center"/>
              <w:rPr>
                <w:rFonts w:ascii="Barlow" w:hAnsi="Barlow" w:cs="Tahoma"/>
                <w:b/>
                <w:bCs/>
                <w:iCs/>
                <w:lang w:val="en-US"/>
              </w:rPr>
            </w:pPr>
            <w:r w:rsidRPr="00160103">
              <w:rPr>
                <w:rFonts w:ascii="Barlow" w:hAnsi="Barlow" w:cs="Tahoma"/>
                <w:b/>
                <w:bCs/>
                <w:iCs/>
                <w:sz w:val="22"/>
                <w:szCs w:val="22"/>
                <w:lang w:val="en-US"/>
              </w:rPr>
              <w:t>ABSTRACT</w:t>
            </w:r>
          </w:p>
          <w:p w14:paraId="77F161DC" w14:textId="77777777" w:rsidR="00C44E95" w:rsidRPr="00160103" w:rsidRDefault="00160103" w:rsidP="00160103">
            <w:pPr>
              <w:jc w:val="both"/>
              <w:rPr>
                <w:rFonts w:ascii="Barlow" w:hAnsi="Barlow" w:cs="Tahoma"/>
                <w:iCs/>
                <w:lang w:val="en-US"/>
              </w:rPr>
            </w:pPr>
            <w:r w:rsidRPr="00160103">
              <w:rPr>
                <w:rFonts w:ascii="Barlow" w:eastAsia="Lustria" w:hAnsi="Barlow" w:cs="Lustria"/>
                <w:iCs/>
              </w:rPr>
              <w:t>This study aims to explore the perceptions of Physical Education (PE) teachers toward inclusive learning in elementary schools within Martapura District. Employing a quantitative descriptive method, data were gathered through a 4-point Likert scale questionnaire distributed to 13 PE teachers selected purposively from 7 elementary schools. Participants were chosen based on having a minimum of one year of experience in teaching inclusive classes. The total population encompassed 39 elementary schools in the district.</w:t>
            </w:r>
            <w:r w:rsidR="00AB28AB">
              <w:rPr>
                <w:rFonts w:ascii="Barlow" w:eastAsia="Lustria" w:hAnsi="Barlow" w:cs="Lustria"/>
                <w:iCs/>
              </w:rPr>
              <w:t xml:space="preserve"> </w:t>
            </w:r>
            <w:r w:rsidRPr="00160103">
              <w:rPr>
                <w:rFonts w:ascii="Barlow" w:eastAsia="Lustria" w:hAnsi="Barlow" w:cs="Lustria"/>
                <w:iCs/>
              </w:rPr>
              <w:t>The results revealed a limited understanding of inclusive education among teachers, with 38% indicating inadequate knowledge of its concepts. Similarly, 38% of the respondents fell into the low category in terms of readiness and ability to deliver inclusive Physical Education. A significant proportion of teachers (77%) reported encountering substantial barriers in implementing inclusive learning, such as insufficient training, lack of supporting facilities, and the absence of speciali</w:t>
            </w:r>
            <w:r w:rsidR="00AB28AB">
              <w:rPr>
                <w:rFonts w:ascii="Barlow" w:eastAsia="Lustria" w:hAnsi="Barlow" w:cs="Lustria"/>
                <w:iCs/>
              </w:rPr>
              <w:t>s</w:t>
            </w:r>
            <w:r w:rsidRPr="00160103">
              <w:rPr>
                <w:rFonts w:ascii="Barlow" w:eastAsia="Lustria" w:hAnsi="Barlow" w:cs="Lustria"/>
                <w:iCs/>
              </w:rPr>
              <w:t>ed co-teachers. Despite these challenges, the study found that institutional support—particularly from school principals and inclusive-oriented policies—was relatively strong, with 46% of respondents reporting a high level of school-based backing, albeit with variations across institutions.</w:t>
            </w:r>
            <w:r>
              <w:rPr>
                <w:rFonts w:ascii="Barlow" w:eastAsia="Lustria" w:hAnsi="Barlow" w:cs="Lustria"/>
                <w:iCs/>
              </w:rPr>
              <w:t xml:space="preserve"> </w:t>
            </w:r>
            <w:r w:rsidRPr="00160103">
              <w:rPr>
                <w:rFonts w:ascii="Barlow" w:eastAsia="Lustria" w:hAnsi="Barlow" w:cs="Lustria"/>
                <w:iCs/>
              </w:rPr>
              <w:t>These findings suggest that while policy-level support exists, the implementation of inclusive PE remains inconsistent and underdeveloped. The study concludes that enhancing inclusive Physical Education requires targeted teacher training programs, better infrastructural support, and stronger collaboration among educators, administrators, and policymakers. Strengthening these components is essential to reali</w:t>
            </w:r>
            <w:r w:rsidR="00AB28AB">
              <w:rPr>
                <w:rFonts w:ascii="Barlow" w:eastAsia="Lustria" w:hAnsi="Barlow" w:cs="Lustria"/>
                <w:iCs/>
              </w:rPr>
              <w:t>s</w:t>
            </w:r>
            <w:r w:rsidRPr="00160103">
              <w:rPr>
                <w:rFonts w:ascii="Barlow" w:eastAsia="Lustria" w:hAnsi="Barlow" w:cs="Lustria"/>
                <w:iCs/>
              </w:rPr>
              <w:t>e the full potential of inclusive education in fostering equal participation for all students in Physical Education settings.</w:t>
            </w:r>
          </w:p>
        </w:tc>
        <w:tc>
          <w:tcPr>
            <w:tcW w:w="283" w:type="dxa"/>
            <w:tcBorders>
              <w:top w:val="nil"/>
            </w:tcBorders>
          </w:tcPr>
          <w:p w14:paraId="0244246B" w14:textId="77777777" w:rsidR="00C44E95" w:rsidRPr="00160103"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tcPr>
          <w:p w14:paraId="0B35DB24" w14:textId="77777777" w:rsidR="00C44E95" w:rsidRPr="00160103" w:rsidRDefault="00C44E95" w:rsidP="00521894">
            <w:pPr>
              <w:spacing w:before="120" w:after="60"/>
              <w:rPr>
                <w:rFonts w:ascii="Barlow" w:hAnsi="Barlow" w:cs="Tahoma"/>
                <w:b/>
                <w:sz w:val="18"/>
                <w:szCs w:val="18"/>
                <w:lang w:val="en-US"/>
              </w:rPr>
            </w:pPr>
            <w:r w:rsidRPr="00160103">
              <w:rPr>
                <w:rFonts w:ascii="Barlow" w:hAnsi="Barlow" w:cs="Tahoma"/>
                <w:b/>
                <w:sz w:val="18"/>
                <w:szCs w:val="18"/>
                <w:lang w:val="en-US"/>
              </w:rPr>
              <w:t>ARTICLE HISTORY</w:t>
            </w:r>
          </w:p>
          <w:p w14:paraId="2C24A563" w14:textId="2CD1B4E7" w:rsidR="00C44E95" w:rsidRPr="00160103" w:rsidRDefault="00C44E95" w:rsidP="00C44E95">
            <w:pPr>
              <w:spacing w:line="276" w:lineRule="auto"/>
              <w:rPr>
                <w:rFonts w:ascii="Barlow" w:hAnsi="Barlow" w:cs="Tahoma"/>
                <w:bCs/>
                <w:sz w:val="18"/>
                <w:szCs w:val="18"/>
                <w:lang w:val="en-US"/>
              </w:rPr>
            </w:pPr>
            <w:r w:rsidRPr="00160103">
              <w:rPr>
                <w:rFonts w:ascii="Barlow" w:hAnsi="Barlow" w:cs="Tahoma"/>
                <w:bCs/>
                <w:sz w:val="18"/>
                <w:szCs w:val="18"/>
                <w:lang w:val="en-US"/>
              </w:rPr>
              <w:t xml:space="preserve">Received: </w:t>
            </w:r>
            <w:r w:rsidR="0090670C" w:rsidRPr="00160103">
              <w:rPr>
                <w:rFonts w:ascii="Barlow" w:hAnsi="Barlow" w:cs="Tahoma"/>
                <w:bCs/>
                <w:sz w:val="18"/>
                <w:szCs w:val="18"/>
                <w:lang w:val="en-US"/>
              </w:rPr>
              <w:t>202</w:t>
            </w:r>
            <w:r w:rsidR="00406888" w:rsidRPr="00160103">
              <w:rPr>
                <w:rFonts w:ascii="Barlow" w:hAnsi="Barlow" w:cs="Tahoma"/>
                <w:bCs/>
                <w:sz w:val="18"/>
                <w:szCs w:val="18"/>
                <w:lang w:val="en-US"/>
              </w:rPr>
              <w:t>5</w:t>
            </w:r>
            <w:r w:rsidRPr="00160103">
              <w:rPr>
                <w:rFonts w:ascii="Barlow" w:hAnsi="Barlow" w:cs="Tahoma"/>
                <w:bCs/>
                <w:sz w:val="18"/>
                <w:szCs w:val="18"/>
                <w:lang w:val="en-US"/>
              </w:rPr>
              <w:t>/</w:t>
            </w:r>
            <w:r w:rsidR="00406888" w:rsidRPr="00160103">
              <w:rPr>
                <w:rFonts w:ascii="Barlow" w:hAnsi="Barlow" w:cs="Tahoma"/>
                <w:bCs/>
                <w:sz w:val="18"/>
                <w:szCs w:val="18"/>
                <w:lang w:val="en-US"/>
              </w:rPr>
              <w:t>0</w:t>
            </w:r>
            <w:r w:rsidR="00C75026">
              <w:rPr>
                <w:rFonts w:ascii="Barlow" w:hAnsi="Barlow" w:cs="Tahoma"/>
                <w:bCs/>
                <w:sz w:val="18"/>
                <w:szCs w:val="18"/>
                <w:lang w:val="en-US"/>
              </w:rPr>
              <w:t>6</w:t>
            </w:r>
            <w:r w:rsidRPr="00160103">
              <w:rPr>
                <w:rFonts w:ascii="Barlow" w:hAnsi="Barlow" w:cs="Tahoma"/>
                <w:bCs/>
                <w:sz w:val="18"/>
                <w:szCs w:val="18"/>
                <w:lang w:val="en-US"/>
              </w:rPr>
              <w:t>/</w:t>
            </w:r>
            <w:r w:rsidR="001E6A7E" w:rsidRPr="00160103">
              <w:rPr>
                <w:rFonts w:ascii="Barlow" w:hAnsi="Barlow" w:cs="Tahoma"/>
                <w:bCs/>
                <w:sz w:val="18"/>
                <w:szCs w:val="18"/>
                <w:lang w:val="en-US"/>
              </w:rPr>
              <w:t>0</w:t>
            </w:r>
            <w:r w:rsidR="00C75026">
              <w:rPr>
                <w:rFonts w:ascii="Barlow" w:hAnsi="Barlow" w:cs="Tahoma"/>
                <w:bCs/>
                <w:sz w:val="18"/>
                <w:szCs w:val="18"/>
                <w:lang w:val="en-US"/>
              </w:rPr>
              <w:t>4</w:t>
            </w:r>
          </w:p>
          <w:p w14:paraId="14E97F01" w14:textId="751842B2" w:rsidR="00C44E95" w:rsidRPr="00160103" w:rsidRDefault="00C44E95" w:rsidP="00C44E95">
            <w:pPr>
              <w:spacing w:line="276" w:lineRule="auto"/>
              <w:rPr>
                <w:rFonts w:ascii="Barlow" w:hAnsi="Barlow" w:cs="Tahoma"/>
                <w:bCs/>
                <w:sz w:val="18"/>
                <w:szCs w:val="18"/>
                <w:lang w:val="en-US"/>
              </w:rPr>
            </w:pPr>
            <w:r w:rsidRPr="00160103">
              <w:rPr>
                <w:rFonts w:ascii="Barlow" w:hAnsi="Barlow" w:cs="Tahoma"/>
                <w:bCs/>
                <w:sz w:val="18"/>
                <w:szCs w:val="18"/>
                <w:lang w:val="en-US"/>
              </w:rPr>
              <w:t xml:space="preserve">Accepted: </w:t>
            </w:r>
            <w:r w:rsidR="0090670C" w:rsidRPr="00160103">
              <w:rPr>
                <w:rFonts w:ascii="Barlow" w:hAnsi="Barlow" w:cs="Tahoma"/>
                <w:bCs/>
                <w:sz w:val="18"/>
                <w:szCs w:val="18"/>
                <w:lang w:val="en-US"/>
              </w:rPr>
              <w:t>202</w:t>
            </w:r>
            <w:r w:rsidR="00406888" w:rsidRPr="00160103">
              <w:rPr>
                <w:rFonts w:ascii="Barlow" w:hAnsi="Barlow" w:cs="Tahoma"/>
                <w:bCs/>
                <w:sz w:val="18"/>
                <w:szCs w:val="18"/>
                <w:lang w:val="en-US"/>
              </w:rPr>
              <w:t>5</w:t>
            </w:r>
            <w:r w:rsidRPr="00160103">
              <w:rPr>
                <w:rFonts w:ascii="Barlow" w:hAnsi="Barlow" w:cs="Tahoma"/>
                <w:bCs/>
                <w:sz w:val="18"/>
                <w:szCs w:val="18"/>
                <w:lang w:val="en-US"/>
              </w:rPr>
              <w:t>/</w:t>
            </w:r>
            <w:r w:rsidR="00520987">
              <w:rPr>
                <w:rFonts w:ascii="Barlow" w:hAnsi="Barlow" w:cs="Tahoma"/>
                <w:bCs/>
                <w:sz w:val="18"/>
                <w:szCs w:val="18"/>
                <w:lang w:val="en-US"/>
              </w:rPr>
              <w:t>06</w:t>
            </w:r>
            <w:r w:rsidRPr="00160103">
              <w:rPr>
                <w:rFonts w:ascii="Barlow" w:hAnsi="Barlow" w:cs="Tahoma"/>
                <w:bCs/>
                <w:sz w:val="18"/>
                <w:szCs w:val="18"/>
                <w:lang w:val="en-US"/>
              </w:rPr>
              <w:t>/</w:t>
            </w:r>
            <w:r w:rsidR="00520987">
              <w:rPr>
                <w:rFonts w:ascii="Barlow" w:hAnsi="Barlow" w:cs="Tahoma"/>
                <w:bCs/>
                <w:sz w:val="18"/>
                <w:szCs w:val="18"/>
                <w:lang w:val="en-US"/>
              </w:rPr>
              <w:t>15</w:t>
            </w:r>
          </w:p>
          <w:p w14:paraId="5CBA0EDC" w14:textId="77777777" w:rsidR="00C44E95" w:rsidRPr="00160103" w:rsidRDefault="00C44E95" w:rsidP="00C44E95">
            <w:pPr>
              <w:spacing w:after="120" w:line="276" w:lineRule="auto"/>
              <w:rPr>
                <w:rFonts w:ascii="Barlow" w:hAnsi="Barlow" w:cs="Tahoma"/>
                <w:bCs/>
                <w:sz w:val="18"/>
                <w:szCs w:val="18"/>
                <w:lang w:val="en-US"/>
              </w:rPr>
            </w:pPr>
            <w:r w:rsidRPr="00160103">
              <w:rPr>
                <w:rFonts w:ascii="Barlow" w:hAnsi="Barlow" w:cs="Tahoma"/>
                <w:bCs/>
                <w:sz w:val="18"/>
                <w:szCs w:val="18"/>
                <w:lang w:val="en-US"/>
              </w:rPr>
              <w:t xml:space="preserve">Published: </w:t>
            </w:r>
            <w:r w:rsidR="0090670C" w:rsidRPr="00160103">
              <w:rPr>
                <w:rFonts w:ascii="Barlow" w:hAnsi="Barlow" w:cs="Tahoma"/>
                <w:bCs/>
                <w:sz w:val="18"/>
                <w:szCs w:val="18"/>
                <w:lang w:val="en-US"/>
              </w:rPr>
              <w:t>202</w:t>
            </w:r>
            <w:r w:rsidR="00BE7703" w:rsidRPr="00160103">
              <w:rPr>
                <w:rFonts w:ascii="Barlow" w:hAnsi="Barlow" w:cs="Tahoma"/>
                <w:bCs/>
                <w:sz w:val="18"/>
                <w:szCs w:val="18"/>
                <w:lang w:val="en-US"/>
              </w:rPr>
              <w:t>5</w:t>
            </w:r>
            <w:r w:rsidRPr="00160103">
              <w:rPr>
                <w:rFonts w:ascii="Barlow" w:hAnsi="Barlow" w:cs="Tahoma"/>
                <w:bCs/>
                <w:sz w:val="18"/>
                <w:szCs w:val="18"/>
                <w:lang w:val="en-US"/>
              </w:rPr>
              <w:t>/</w:t>
            </w:r>
            <w:r w:rsidR="00BE7703" w:rsidRPr="00160103">
              <w:rPr>
                <w:rFonts w:ascii="Barlow" w:hAnsi="Barlow" w:cs="Tahoma"/>
                <w:bCs/>
                <w:sz w:val="18"/>
                <w:szCs w:val="18"/>
                <w:lang w:val="en-US"/>
              </w:rPr>
              <w:t>0</w:t>
            </w:r>
            <w:r w:rsidR="001E6A7E" w:rsidRPr="00160103">
              <w:rPr>
                <w:rFonts w:ascii="Barlow" w:hAnsi="Barlow" w:cs="Tahoma"/>
                <w:bCs/>
                <w:sz w:val="18"/>
                <w:szCs w:val="18"/>
                <w:lang w:val="en-US"/>
              </w:rPr>
              <w:t>6</w:t>
            </w:r>
            <w:r w:rsidRPr="00160103">
              <w:rPr>
                <w:rFonts w:ascii="Barlow" w:hAnsi="Barlow" w:cs="Tahoma"/>
                <w:bCs/>
                <w:sz w:val="18"/>
                <w:szCs w:val="18"/>
                <w:lang w:val="en-US"/>
              </w:rPr>
              <w:t>/</w:t>
            </w:r>
            <w:r w:rsidR="00BE7703" w:rsidRPr="00160103">
              <w:rPr>
                <w:rFonts w:ascii="Barlow" w:hAnsi="Barlow" w:cs="Tahoma"/>
                <w:bCs/>
                <w:sz w:val="18"/>
                <w:szCs w:val="18"/>
                <w:lang w:val="en-US"/>
              </w:rPr>
              <w:t>2</w:t>
            </w:r>
            <w:r w:rsidR="00C13FDD">
              <w:rPr>
                <w:rFonts w:ascii="Barlow" w:hAnsi="Barlow" w:cs="Tahoma"/>
                <w:bCs/>
                <w:sz w:val="18"/>
                <w:szCs w:val="18"/>
                <w:lang w:val="en-US"/>
              </w:rPr>
              <w:t>2</w:t>
            </w:r>
          </w:p>
        </w:tc>
      </w:tr>
      <w:tr w:rsidR="00C44E95" w:rsidRPr="00160103" w14:paraId="5EF0A154" w14:textId="77777777" w:rsidTr="00E066D4">
        <w:trPr>
          <w:trHeight w:val="269"/>
        </w:trPr>
        <w:tc>
          <w:tcPr>
            <w:tcW w:w="6379" w:type="dxa"/>
            <w:vMerge/>
          </w:tcPr>
          <w:p w14:paraId="6416476C" w14:textId="77777777" w:rsidR="00C44E95" w:rsidRPr="00160103" w:rsidRDefault="00C44E95" w:rsidP="00704410">
            <w:pPr>
              <w:ind w:left="-108" w:right="33"/>
              <w:jc w:val="both"/>
              <w:rPr>
                <w:rFonts w:ascii="Barlow" w:hAnsi="Barlow" w:cs="Tahoma"/>
                <w:iCs/>
                <w:lang w:val="en-US"/>
              </w:rPr>
            </w:pPr>
          </w:p>
        </w:tc>
        <w:tc>
          <w:tcPr>
            <w:tcW w:w="283" w:type="dxa"/>
            <w:tcBorders>
              <w:bottom w:val="nil"/>
            </w:tcBorders>
          </w:tcPr>
          <w:p w14:paraId="45BEEC80" w14:textId="77777777" w:rsidR="00C44E95" w:rsidRPr="00160103"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tcPr>
          <w:p w14:paraId="4883C46A" w14:textId="77777777" w:rsidR="00C44E95" w:rsidRPr="00160103" w:rsidRDefault="00C44E95" w:rsidP="00521894">
            <w:pPr>
              <w:spacing w:before="120" w:after="60"/>
              <w:rPr>
                <w:rFonts w:ascii="Barlow" w:hAnsi="Barlow" w:cs="Tahoma"/>
                <w:b/>
                <w:bCs/>
                <w:sz w:val="18"/>
                <w:szCs w:val="18"/>
                <w:lang w:val="en-US"/>
              </w:rPr>
            </w:pPr>
            <w:r w:rsidRPr="00160103">
              <w:rPr>
                <w:rFonts w:ascii="Barlow" w:hAnsi="Barlow" w:cs="Tahoma"/>
                <w:b/>
                <w:bCs/>
                <w:sz w:val="18"/>
                <w:szCs w:val="18"/>
                <w:lang w:val="en-US"/>
              </w:rPr>
              <w:t>KEYWORDS</w:t>
            </w:r>
          </w:p>
          <w:p w14:paraId="0212EF27" w14:textId="77777777" w:rsidR="00160103" w:rsidRDefault="00160103" w:rsidP="00160103">
            <w:pPr>
              <w:spacing w:line="276" w:lineRule="auto"/>
              <w:rPr>
                <w:rFonts w:ascii="Barlow" w:hAnsi="Barlow" w:cs="Tahoma"/>
                <w:sz w:val="18"/>
                <w:szCs w:val="18"/>
                <w:lang w:val="en-ID"/>
              </w:rPr>
            </w:pPr>
            <w:r w:rsidRPr="00160103">
              <w:rPr>
                <w:rFonts w:ascii="Barlow" w:hAnsi="Barlow" w:cs="Tahoma"/>
                <w:sz w:val="18"/>
                <w:szCs w:val="18"/>
                <w:lang w:val="en-ID"/>
              </w:rPr>
              <w:t>Inclusive Education</w:t>
            </w:r>
            <w:r>
              <w:rPr>
                <w:rFonts w:ascii="Barlow" w:hAnsi="Barlow" w:cs="Tahoma"/>
                <w:sz w:val="18"/>
                <w:szCs w:val="18"/>
                <w:lang w:val="en-ID"/>
              </w:rPr>
              <w:t>;</w:t>
            </w:r>
          </w:p>
          <w:p w14:paraId="2B6D5A13" w14:textId="77777777" w:rsidR="00160103" w:rsidRDefault="00160103" w:rsidP="00160103">
            <w:pPr>
              <w:spacing w:line="276" w:lineRule="auto"/>
              <w:rPr>
                <w:rFonts w:ascii="Barlow" w:hAnsi="Barlow" w:cs="Tahoma"/>
                <w:sz w:val="18"/>
                <w:szCs w:val="18"/>
                <w:lang w:val="en-ID"/>
              </w:rPr>
            </w:pPr>
            <w:r w:rsidRPr="00160103">
              <w:rPr>
                <w:rFonts w:ascii="Barlow" w:hAnsi="Barlow" w:cs="Tahoma"/>
                <w:sz w:val="18"/>
                <w:szCs w:val="18"/>
                <w:lang w:val="en-ID"/>
              </w:rPr>
              <w:t>Physical Education</w:t>
            </w:r>
            <w:r>
              <w:rPr>
                <w:rFonts w:ascii="Barlow" w:hAnsi="Barlow" w:cs="Tahoma"/>
                <w:sz w:val="18"/>
                <w:szCs w:val="18"/>
                <w:lang w:val="en-ID"/>
              </w:rPr>
              <w:t>;</w:t>
            </w:r>
          </w:p>
          <w:p w14:paraId="1D255982" w14:textId="77777777" w:rsidR="00160103" w:rsidRDefault="00160103" w:rsidP="00160103">
            <w:pPr>
              <w:spacing w:line="276" w:lineRule="auto"/>
              <w:rPr>
                <w:rFonts w:ascii="Barlow" w:hAnsi="Barlow" w:cs="Tahoma"/>
                <w:sz w:val="18"/>
                <w:szCs w:val="18"/>
                <w:lang w:val="en-ID"/>
              </w:rPr>
            </w:pPr>
            <w:r w:rsidRPr="00160103">
              <w:rPr>
                <w:rFonts w:ascii="Barlow" w:hAnsi="Barlow" w:cs="Tahoma"/>
                <w:sz w:val="18"/>
                <w:szCs w:val="18"/>
                <w:lang w:val="en-ID"/>
              </w:rPr>
              <w:t>Teacher Perception</w:t>
            </w:r>
            <w:r>
              <w:rPr>
                <w:rFonts w:ascii="Barlow" w:hAnsi="Barlow" w:cs="Tahoma"/>
                <w:sz w:val="18"/>
                <w:szCs w:val="18"/>
                <w:lang w:val="en-ID"/>
              </w:rPr>
              <w:t>;</w:t>
            </w:r>
          </w:p>
          <w:p w14:paraId="3CE78919" w14:textId="77777777" w:rsidR="00160103" w:rsidRDefault="00160103" w:rsidP="00160103">
            <w:pPr>
              <w:spacing w:line="276" w:lineRule="auto"/>
              <w:rPr>
                <w:rFonts w:ascii="Barlow" w:hAnsi="Barlow" w:cs="Tahoma"/>
                <w:sz w:val="18"/>
                <w:szCs w:val="18"/>
                <w:lang w:val="en-ID"/>
              </w:rPr>
            </w:pPr>
            <w:r w:rsidRPr="00160103">
              <w:rPr>
                <w:rFonts w:ascii="Barlow" w:hAnsi="Barlow" w:cs="Tahoma"/>
                <w:sz w:val="18"/>
                <w:szCs w:val="18"/>
                <w:lang w:val="en-ID"/>
              </w:rPr>
              <w:t>Elementary School</w:t>
            </w:r>
            <w:r>
              <w:rPr>
                <w:rFonts w:ascii="Barlow" w:hAnsi="Barlow" w:cs="Tahoma"/>
                <w:sz w:val="18"/>
                <w:szCs w:val="18"/>
                <w:lang w:val="en-ID"/>
              </w:rPr>
              <w:t>;</w:t>
            </w:r>
          </w:p>
          <w:p w14:paraId="198358C1" w14:textId="77777777" w:rsidR="00C44E95" w:rsidRPr="00160103" w:rsidRDefault="00160103" w:rsidP="00521894">
            <w:pPr>
              <w:spacing w:after="120" w:line="276" w:lineRule="auto"/>
              <w:rPr>
                <w:rFonts w:ascii="Barlow" w:hAnsi="Barlow" w:cs="Tahoma"/>
                <w:bCs/>
                <w:sz w:val="18"/>
                <w:szCs w:val="18"/>
                <w:lang w:val="en-US"/>
              </w:rPr>
            </w:pPr>
            <w:proofErr w:type="spellStart"/>
            <w:r w:rsidRPr="00160103">
              <w:rPr>
                <w:rFonts w:ascii="Barlow" w:hAnsi="Barlow" w:cs="Tahoma"/>
                <w:sz w:val="18"/>
                <w:szCs w:val="18"/>
                <w:lang w:val="en-ID"/>
              </w:rPr>
              <w:t>Martapura</w:t>
            </w:r>
            <w:proofErr w:type="spellEnd"/>
            <w:r w:rsidRPr="00160103">
              <w:rPr>
                <w:rFonts w:ascii="Barlow" w:hAnsi="Barlow" w:cs="Tahoma"/>
                <w:sz w:val="18"/>
                <w:szCs w:val="18"/>
                <w:lang w:val="en-ID"/>
              </w:rPr>
              <w:t xml:space="preserve"> District</w:t>
            </w:r>
            <w:r w:rsidR="00C44E95" w:rsidRPr="00160103">
              <w:rPr>
                <w:rFonts w:ascii="Barlow" w:hAnsi="Barlow" w:cs="Tahoma"/>
                <w:sz w:val="18"/>
                <w:szCs w:val="18"/>
                <w:lang w:val="en-ID"/>
              </w:rPr>
              <w:t>.</w:t>
            </w:r>
          </w:p>
        </w:tc>
      </w:tr>
      <w:tr w:rsidR="00C44E95" w:rsidRPr="00160103" w14:paraId="6CF4EE36" w14:textId="77777777" w:rsidTr="00E066D4">
        <w:trPr>
          <w:trHeight w:val="269"/>
        </w:trPr>
        <w:tc>
          <w:tcPr>
            <w:tcW w:w="6379" w:type="dxa"/>
            <w:vMerge/>
            <w:tcBorders>
              <w:bottom w:val="single" w:sz="12" w:space="0" w:color="auto"/>
            </w:tcBorders>
          </w:tcPr>
          <w:p w14:paraId="5069FCB7" w14:textId="77777777" w:rsidR="00C44E95" w:rsidRPr="00160103" w:rsidRDefault="00C44E95" w:rsidP="00704410">
            <w:pPr>
              <w:ind w:left="-108" w:right="33"/>
              <w:jc w:val="both"/>
              <w:rPr>
                <w:rFonts w:ascii="Barlow" w:hAnsi="Barlow" w:cs="Tahoma"/>
                <w:iCs/>
                <w:lang w:val="en-US"/>
              </w:rPr>
            </w:pPr>
          </w:p>
        </w:tc>
        <w:tc>
          <w:tcPr>
            <w:tcW w:w="283" w:type="dxa"/>
            <w:tcBorders>
              <w:top w:val="nil"/>
              <w:bottom w:val="nil"/>
            </w:tcBorders>
          </w:tcPr>
          <w:p w14:paraId="0D10D339" w14:textId="77777777" w:rsidR="00C44E95" w:rsidRPr="00160103"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tcPr>
          <w:p w14:paraId="5983E3E8" w14:textId="77777777" w:rsidR="00C44E95" w:rsidRPr="00160103" w:rsidRDefault="00C44E95" w:rsidP="00521894">
            <w:pPr>
              <w:spacing w:before="120" w:after="60"/>
              <w:rPr>
                <w:rFonts w:ascii="Barlow" w:hAnsi="Barlow" w:cs="Tahoma"/>
                <w:b/>
                <w:sz w:val="18"/>
                <w:szCs w:val="18"/>
                <w:lang w:val="en-US"/>
              </w:rPr>
            </w:pPr>
            <w:r w:rsidRPr="00160103">
              <w:rPr>
                <w:rFonts w:ascii="Barlow" w:hAnsi="Barlow" w:cs="Tahoma"/>
                <w:b/>
                <w:sz w:val="18"/>
                <w:szCs w:val="18"/>
                <w:lang w:val="en-US"/>
              </w:rPr>
              <w:t>AUTHORS’ CONTRIBUTION</w:t>
            </w:r>
          </w:p>
          <w:p w14:paraId="33CB2FF2" w14:textId="77777777" w:rsidR="00E066D4" w:rsidRPr="00160103" w:rsidRDefault="00C44E95" w:rsidP="00E066D4">
            <w:pPr>
              <w:pStyle w:val="ListParagraph"/>
              <w:numPr>
                <w:ilvl w:val="0"/>
                <w:numId w:val="1"/>
              </w:numPr>
              <w:ind w:left="181" w:hanging="181"/>
              <w:rPr>
                <w:rFonts w:ascii="Barlow" w:hAnsi="Barlow" w:cs="Tahoma"/>
                <w:bCs/>
                <w:sz w:val="18"/>
                <w:szCs w:val="18"/>
                <w:lang w:val="en-US"/>
              </w:rPr>
            </w:pPr>
            <w:r w:rsidRPr="00160103">
              <w:rPr>
                <w:rFonts w:ascii="Barlow" w:hAnsi="Barlow" w:cs="Tahoma"/>
                <w:bCs/>
                <w:sz w:val="18"/>
                <w:szCs w:val="18"/>
                <w:lang w:val="en-US"/>
              </w:rPr>
              <w:t xml:space="preserve">Conception and design of the study; </w:t>
            </w:r>
          </w:p>
          <w:p w14:paraId="14FB29A3" w14:textId="77777777" w:rsidR="00E066D4" w:rsidRPr="00160103" w:rsidRDefault="00C44E95" w:rsidP="00C44E95">
            <w:pPr>
              <w:pStyle w:val="ListParagraph"/>
              <w:numPr>
                <w:ilvl w:val="0"/>
                <w:numId w:val="1"/>
              </w:numPr>
              <w:ind w:left="181" w:hanging="181"/>
              <w:rPr>
                <w:rFonts w:ascii="Barlow" w:hAnsi="Barlow" w:cs="Tahoma"/>
                <w:bCs/>
                <w:sz w:val="18"/>
                <w:szCs w:val="18"/>
                <w:lang w:val="en-US"/>
              </w:rPr>
            </w:pPr>
            <w:r w:rsidRPr="00160103">
              <w:rPr>
                <w:rFonts w:ascii="Barlow" w:hAnsi="Barlow" w:cs="Tahoma"/>
                <w:bCs/>
                <w:sz w:val="18"/>
                <w:szCs w:val="18"/>
                <w:lang w:val="en-US"/>
              </w:rPr>
              <w:t xml:space="preserve">Acquisition of data; </w:t>
            </w:r>
          </w:p>
          <w:p w14:paraId="02791A13" w14:textId="77777777" w:rsidR="00E066D4" w:rsidRPr="00160103" w:rsidRDefault="00C44E95" w:rsidP="00C44E95">
            <w:pPr>
              <w:pStyle w:val="ListParagraph"/>
              <w:numPr>
                <w:ilvl w:val="0"/>
                <w:numId w:val="1"/>
              </w:numPr>
              <w:ind w:left="181" w:hanging="181"/>
              <w:rPr>
                <w:rFonts w:ascii="Barlow" w:hAnsi="Barlow" w:cs="Tahoma"/>
                <w:bCs/>
                <w:sz w:val="18"/>
                <w:szCs w:val="18"/>
                <w:lang w:val="en-US"/>
              </w:rPr>
            </w:pPr>
            <w:r w:rsidRPr="00160103">
              <w:rPr>
                <w:rFonts w:ascii="Barlow" w:hAnsi="Barlow" w:cs="Tahoma"/>
                <w:bCs/>
                <w:sz w:val="18"/>
                <w:szCs w:val="18"/>
                <w:lang w:val="en-US"/>
              </w:rPr>
              <w:t xml:space="preserve">Analysis and interpretation of data; </w:t>
            </w:r>
          </w:p>
          <w:p w14:paraId="7AEA05CB" w14:textId="77777777" w:rsidR="00E066D4" w:rsidRPr="00160103" w:rsidRDefault="00C44E95" w:rsidP="00E066D4">
            <w:pPr>
              <w:pStyle w:val="ListParagraph"/>
              <w:numPr>
                <w:ilvl w:val="0"/>
                <w:numId w:val="1"/>
              </w:numPr>
              <w:ind w:left="181" w:hanging="181"/>
              <w:rPr>
                <w:rFonts w:ascii="Barlow" w:hAnsi="Barlow" w:cs="Tahoma"/>
                <w:bCs/>
                <w:sz w:val="18"/>
                <w:szCs w:val="18"/>
                <w:lang w:val="en-US"/>
              </w:rPr>
            </w:pPr>
            <w:r w:rsidRPr="00160103">
              <w:rPr>
                <w:rFonts w:ascii="Barlow" w:hAnsi="Barlow" w:cs="Tahoma"/>
                <w:bCs/>
                <w:sz w:val="18"/>
                <w:szCs w:val="18"/>
                <w:lang w:val="en-US"/>
              </w:rPr>
              <w:t>Manuscript preparation;</w:t>
            </w:r>
          </w:p>
          <w:p w14:paraId="7EED341B" w14:textId="77777777" w:rsidR="00C44E95" w:rsidRPr="00160103" w:rsidRDefault="00C44E95" w:rsidP="00E066D4">
            <w:pPr>
              <w:pStyle w:val="ListParagraph"/>
              <w:numPr>
                <w:ilvl w:val="0"/>
                <w:numId w:val="1"/>
              </w:numPr>
              <w:ind w:left="181" w:hanging="181"/>
              <w:rPr>
                <w:rFonts w:ascii="Barlow" w:hAnsi="Barlow" w:cs="Tahoma"/>
                <w:bCs/>
                <w:sz w:val="18"/>
                <w:szCs w:val="18"/>
                <w:lang w:val="en-US"/>
              </w:rPr>
            </w:pPr>
            <w:r w:rsidRPr="00160103">
              <w:rPr>
                <w:rFonts w:ascii="Barlow" w:hAnsi="Barlow" w:cs="Tahoma"/>
                <w:bCs/>
                <w:sz w:val="18"/>
                <w:szCs w:val="18"/>
                <w:lang w:val="en-US"/>
              </w:rPr>
              <w:t xml:space="preserve"> Obtaining funding</w:t>
            </w:r>
          </w:p>
        </w:tc>
      </w:tr>
    </w:tbl>
    <w:p w14:paraId="0B6377F2" w14:textId="77777777" w:rsidR="00D73740" w:rsidRPr="00160103" w:rsidRDefault="00D73740" w:rsidP="00A139C4">
      <w:pPr>
        <w:spacing w:after="0" w:line="240" w:lineRule="auto"/>
        <w:rPr>
          <w:rFonts w:ascii="Barlow" w:hAnsi="Barlow" w:cs="Tahoma"/>
          <w:sz w:val="24"/>
          <w:szCs w:val="28"/>
          <w:lang w:val="en-US"/>
        </w:rPr>
      </w:pPr>
    </w:p>
    <w:tbl>
      <w:tblPr>
        <w:tblStyle w:val="TableGrid"/>
        <w:tblW w:w="9072" w:type="dxa"/>
        <w:tblBorders>
          <w:top w:val="single" w:sz="1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03"/>
        <w:gridCol w:w="7493"/>
      </w:tblGrid>
      <w:tr w:rsidR="00D73740" w:rsidRPr="00160103" w14:paraId="41C1549A" w14:textId="77777777" w:rsidTr="00E066D4">
        <w:tc>
          <w:tcPr>
            <w:tcW w:w="1276" w:type="dxa"/>
          </w:tcPr>
          <w:p w14:paraId="01FD28CE" w14:textId="77777777" w:rsidR="00D73740" w:rsidRPr="00160103" w:rsidRDefault="00A167E8" w:rsidP="00A139C4">
            <w:pPr>
              <w:ind w:left="-108"/>
              <w:rPr>
                <w:rFonts w:ascii="Barlow" w:hAnsi="Barlow" w:cs="Tahoma"/>
                <w:b/>
                <w:bCs/>
                <w:szCs w:val="28"/>
                <w:lang w:val="en-US"/>
              </w:rPr>
            </w:pPr>
            <w:r w:rsidRPr="00160103">
              <w:rPr>
                <w:rFonts w:ascii="Barlow" w:hAnsi="Barlow" w:cs="Tahoma"/>
                <w:b/>
                <w:bCs/>
                <w:szCs w:val="28"/>
                <w:lang w:val="en-US"/>
              </w:rPr>
              <w:t xml:space="preserve">Cites this </w:t>
            </w:r>
            <w:r w:rsidR="005F6DEC" w:rsidRPr="00160103">
              <w:rPr>
                <w:rFonts w:ascii="Barlow" w:hAnsi="Barlow" w:cs="Tahoma"/>
                <w:b/>
                <w:bCs/>
                <w:szCs w:val="28"/>
                <w:lang w:val="en-US"/>
              </w:rPr>
              <w:t>Article</w:t>
            </w:r>
          </w:p>
        </w:tc>
        <w:tc>
          <w:tcPr>
            <w:tcW w:w="303" w:type="dxa"/>
          </w:tcPr>
          <w:p w14:paraId="6813088D" w14:textId="77777777" w:rsidR="00D73740" w:rsidRPr="00160103" w:rsidRDefault="00D73740" w:rsidP="00A139C4">
            <w:pPr>
              <w:rPr>
                <w:rFonts w:ascii="Barlow" w:hAnsi="Barlow" w:cs="Tahoma"/>
                <w:szCs w:val="28"/>
                <w:lang w:val="en-US"/>
              </w:rPr>
            </w:pPr>
            <w:r w:rsidRPr="00160103">
              <w:rPr>
                <w:rFonts w:ascii="Barlow" w:hAnsi="Barlow" w:cs="Tahoma"/>
                <w:szCs w:val="28"/>
                <w:lang w:val="en-US"/>
              </w:rPr>
              <w:t>:</w:t>
            </w:r>
          </w:p>
        </w:tc>
        <w:tc>
          <w:tcPr>
            <w:tcW w:w="7493" w:type="dxa"/>
          </w:tcPr>
          <w:p w14:paraId="3D3BFF63" w14:textId="77777777" w:rsidR="002F2D9E" w:rsidRPr="00160103" w:rsidRDefault="00AB28AB" w:rsidP="00A167E8">
            <w:pPr>
              <w:jc w:val="both"/>
              <w:rPr>
                <w:rFonts w:ascii="Barlow" w:hAnsi="Barlow" w:cs="Tahoma"/>
                <w:szCs w:val="28"/>
                <w:lang w:val="en-US"/>
              </w:rPr>
            </w:pPr>
            <w:r w:rsidRPr="00C13FDD">
              <w:rPr>
                <w:rFonts w:ascii="Barlow" w:hAnsi="Barlow" w:cs="Tahoma"/>
              </w:rPr>
              <w:t xml:space="preserve">Azizah, </w:t>
            </w:r>
            <w:r w:rsidR="00C13FDD" w:rsidRPr="00C13FDD">
              <w:rPr>
                <w:rFonts w:ascii="Barlow" w:hAnsi="Barlow" w:cs="Tahoma"/>
              </w:rPr>
              <w:t>Rahma</w:t>
            </w:r>
            <w:r>
              <w:rPr>
                <w:rFonts w:ascii="Barlow" w:hAnsi="Barlow" w:cs="Tahoma"/>
              </w:rPr>
              <w:t>;</w:t>
            </w:r>
            <w:r w:rsidR="00C13FDD" w:rsidRPr="00C13FDD">
              <w:rPr>
                <w:rFonts w:ascii="Barlow" w:hAnsi="Barlow" w:cs="Tahoma"/>
              </w:rPr>
              <w:t xml:space="preserve"> Rahmadi,</w:t>
            </w:r>
            <w:r>
              <w:rPr>
                <w:rFonts w:ascii="Barlow" w:hAnsi="Barlow" w:cs="Tahoma"/>
              </w:rPr>
              <w:t xml:space="preserve"> R.;</w:t>
            </w:r>
            <w:r w:rsidR="00C13FDD" w:rsidRPr="00C13FDD">
              <w:rPr>
                <w:rFonts w:ascii="Barlow" w:hAnsi="Barlow" w:cs="Tahoma"/>
              </w:rPr>
              <w:t xml:space="preserve"> </w:t>
            </w:r>
            <w:r w:rsidRPr="00C13FDD">
              <w:rPr>
                <w:rFonts w:ascii="Barlow" w:hAnsi="Barlow" w:cs="Tahoma"/>
              </w:rPr>
              <w:t>Haffyandi</w:t>
            </w:r>
            <w:r>
              <w:rPr>
                <w:rFonts w:ascii="Barlow" w:hAnsi="Barlow" w:cs="Tahoma"/>
              </w:rPr>
              <w:t xml:space="preserve">, </w:t>
            </w:r>
            <w:r w:rsidR="00C13FDD" w:rsidRPr="00C13FDD">
              <w:rPr>
                <w:rFonts w:ascii="Barlow" w:hAnsi="Barlow" w:cs="Tahoma"/>
              </w:rPr>
              <w:t>Recky Ahmad</w:t>
            </w:r>
            <w:r w:rsidR="00D73740" w:rsidRPr="00C13FDD">
              <w:rPr>
                <w:rFonts w:ascii="Barlow" w:hAnsi="Barlow" w:cs="Tahoma"/>
                <w:lang w:val="en-US"/>
              </w:rPr>
              <w:t>. (</w:t>
            </w:r>
            <w:r w:rsidR="0090670C" w:rsidRPr="00C13FDD">
              <w:rPr>
                <w:rFonts w:ascii="Barlow" w:hAnsi="Barlow" w:cs="Tahoma"/>
                <w:lang w:val="en-US"/>
              </w:rPr>
              <w:t>202</w:t>
            </w:r>
            <w:r w:rsidR="00BE7703" w:rsidRPr="00C13FDD">
              <w:rPr>
                <w:rFonts w:ascii="Barlow" w:hAnsi="Barlow" w:cs="Tahoma"/>
                <w:lang w:val="en-US"/>
              </w:rPr>
              <w:t>5</w:t>
            </w:r>
            <w:r w:rsidR="00D73740" w:rsidRPr="00C13FDD">
              <w:rPr>
                <w:rFonts w:ascii="Barlow" w:hAnsi="Barlow" w:cs="Tahoma"/>
                <w:lang w:val="en-US"/>
              </w:rPr>
              <w:t xml:space="preserve">). </w:t>
            </w:r>
            <w:r w:rsidR="00160103" w:rsidRPr="00C13FDD">
              <w:rPr>
                <w:rFonts w:ascii="Barlow" w:hAnsi="Barlow" w:cs="Tahoma"/>
              </w:rPr>
              <w:t>Physical Education Teachers, Perceptions of Inclusive Learning in Elementary Schools, Martapura District</w:t>
            </w:r>
            <w:r w:rsidR="00D73740" w:rsidRPr="00C13FDD">
              <w:rPr>
                <w:rFonts w:ascii="Barlow" w:hAnsi="Barlow" w:cs="Tahoma"/>
                <w:lang w:val="en-US"/>
              </w:rPr>
              <w:t>.</w:t>
            </w:r>
            <w:r w:rsidR="00D73740" w:rsidRPr="00160103">
              <w:rPr>
                <w:rFonts w:ascii="Barlow" w:hAnsi="Barlow" w:cs="Tahoma"/>
                <w:szCs w:val="28"/>
                <w:lang w:val="en-US"/>
              </w:rPr>
              <w:t xml:space="preserve"> </w:t>
            </w:r>
            <w:r w:rsidR="005700FF" w:rsidRPr="00160103">
              <w:rPr>
                <w:rFonts w:ascii="Barlow" w:hAnsi="Barlow" w:cs="Tahoma"/>
                <w:b/>
                <w:bCs/>
                <w:szCs w:val="28"/>
                <w:lang w:val="en-US"/>
              </w:rPr>
              <w:t xml:space="preserve">Competitor: </w:t>
            </w:r>
            <w:proofErr w:type="spellStart"/>
            <w:r w:rsidR="005700FF" w:rsidRPr="00160103">
              <w:rPr>
                <w:rFonts w:ascii="Barlow" w:hAnsi="Barlow" w:cs="Tahoma"/>
                <w:b/>
                <w:bCs/>
                <w:szCs w:val="28"/>
                <w:lang w:val="en-US"/>
              </w:rPr>
              <w:t>Jurnal</w:t>
            </w:r>
            <w:proofErr w:type="spellEnd"/>
            <w:r w:rsidR="005700FF" w:rsidRPr="00160103">
              <w:rPr>
                <w:rFonts w:ascii="Barlow" w:hAnsi="Barlow" w:cs="Tahoma"/>
                <w:b/>
                <w:bCs/>
                <w:szCs w:val="28"/>
                <w:lang w:val="en-US"/>
              </w:rPr>
              <w:t xml:space="preserve"> Pendidikan </w:t>
            </w:r>
            <w:proofErr w:type="spellStart"/>
            <w:r w:rsidR="005700FF" w:rsidRPr="00160103">
              <w:rPr>
                <w:rFonts w:ascii="Barlow" w:hAnsi="Barlow" w:cs="Tahoma"/>
                <w:b/>
                <w:bCs/>
                <w:szCs w:val="28"/>
                <w:lang w:val="en-US"/>
              </w:rPr>
              <w:t>Kepelatihan</w:t>
            </w:r>
            <w:proofErr w:type="spellEnd"/>
            <w:r w:rsidR="005700FF" w:rsidRPr="00160103">
              <w:rPr>
                <w:rFonts w:ascii="Barlow" w:hAnsi="Barlow" w:cs="Tahoma"/>
                <w:b/>
                <w:bCs/>
                <w:szCs w:val="28"/>
                <w:lang w:val="en-US"/>
              </w:rPr>
              <w:t xml:space="preserve"> </w:t>
            </w:r>
            <w:proofErr w:type="spellStart"/>
            <w:r w:rsidR="005700FF" w:rsidRPr="00160103">
              <w:rPr>
                <w:rFonts w:ascii="Barlow" w:hAnsi="Barlow" w:cs="Tahoma"/>
                <w:b/>
                <w:bCs/>
                <w:szCs w:val="28"/>
                <w:lang w:val="en-US"/>
              </w:rPr>
              <w:t>Olahraga</w:t>
            </w:r>
            <w:proofErr w:type="spellEnd"/>
            <w:r w:rsidR="00291D41" w:rsidRPr="00160103">
              <w:rPr>
                <w:rFonts w:ascii="Barlow" w:hAnsi="Barlow" w:cs="Tahoma"/>
                <w:i/>
                <w:szCs w:val="28"/>
                <w:lang w:val="en-US"/>
              </w:rPr>
              <w:t xml:space="preserve">. </w:t>
            </w:r>
            <w:r w:rsidR="0090670C" w:rsidRPr="00160103">
              <w:rPr>
                <w:rFonts w:ascii="Barlow" w:hAnsi="Barlow" w:cs="Tahoma"/>
                <w:iCs/>
                <w:szCs w:val="28"/>
                <w:lang w:val="en-US"/>
              </w:rPr>
              <w:t>1</w:t>
            </w:r>
            <w:r w:rsidR="00BE7703" w:rsidRPr="00160103">
              <w:rPr>
                <w:rFonts w:ascii="Barlow" w:hAnsi="Barlow" w:cs="Tahoma"/>
                <w:iCs/>
                <w:szCs w:val="28"/>
                <w:lang w:val="en-US"/>
              </w:rPr>
              <w:t>7</w:t>
            </w:r>
            <w:r w:rsidR="005700FF" w:rsidRPr="00160103">
              <w:rPr>
                <w:rFonts w:ascii="Barlow" w:hAnsi="Barlow" w:cs="Tahoma"/>
                <w:szCs w:val="28"/>
                <w:lang w:val="en-US"/>
              </w:rPr>
              <w:t xml:space="preserve"> </w:t>
            </w:r>
            <w:proofErr w:type="gramStart"/>
            <w:r w:rsidR="00D73740" w:rsidRPr="00160103">
              <w:rPr>
                <w:rFonts w:ascii="Barlow" w:hAnsi="Barlow" w:cs="Tahoma"/>
                <w:szCs w:val="28"/>
                <w:lang w:val="en-US"/>
              </w:rPr>
              <w:t>(</w:t>
            </w:r>
            <w:r w:rsidR="005700FF" w:rsidRPr="00160103">
              <w:rPr>
                <w:rFonts w:ascii="Barlow" w:hAnsi="Barlow" w:cs="Tahoma"/>
                <w:szCs w:val="28"/>
                <w:lang w:val="en-US"/>
              </w:rPr>
              <w:t xml:space="preserve"> </w:t>
            </w:r>
            <w:r w:rsidR="002B639C" w:rsidRPr="00160103">
              <w:rPr>
                <w:rFonts w:ascii="Barlow" w:hAnsi="Barlow" w:cs="Tahoma"/>
                <w:szCs w:val="28"/>
                <w:lang w:val="en-US"/>
              </w:rPr>
              <w:t>2</w:t>
            </w:r>
            <w:proofErr w:type="gramEnd"/>
            <w:r w:rsidR="005700FF" w:rsidRPr="00160103">
              <w:rPr>
                <w:rFonts w:ascii="Barlow" w:hAnsi="Barlow" w:cs="Tahoma"/>
                <w:szCs w:val="28"/>
                <w:lang w:val="en-US"/>
              </w:rPr>
              <w:t xml:space="preserve"> </w:t>
            </w:r>
            <w:r w:rsidR="00D73740" w:rsidRPr="00160103">
              <w:rPr>
                <w:rFonts w:ascii="Barlow" w:hAnsi="Barlow" w:cs="Tahoma"/>
                <w:szCs w:val="28"/>
                <w:lang w:val="en-US"/>
              </w:rPr>
              <w:t>), p.</w:t>
            </w:r>
            <w:r>
              <w:rPr>
                <w:rFonts w:ascii="Barlow" w:hAnsi="Barlow" w:cs="Tahoma"/>
                <w:szCs w:val="28"/>
                <w:lang w:val="en-US"/>
              </w:rPr>
              <w:t>1055-106</w:t>
            </w:r>
            <w:r w:rsidR="000301BD">
              <w:rPr>
                <w:rFonts w:ascii="Barlow" w:hAnsi="Barlow" w:cs="Tahoma"/>
                <w:szCs w:val="28"/>
                <w:lang w:val="en-US"/>
              </w:rPr>
              <w:t>6</w:t>
            </w:r>
          </w:p>
        </w:tc>
      </w:tr>
    </w:tbl>
    <w:p w14:paraId="30D77768" w14:textId="77777777" w:rsidR="00291D41" w:rsidRPr="00AB28AB" w:rsidRDefault="00291D41" w:rsidP="00AB28AB">
      <w:pPr>
        <w:spacing w:after="0" w:line="240" w:lineRule="auto"/>
        <w:jc w:val="both"/>
        <w:rPr>
          <w:rFonts w:ascii="Barlow" w:hAnsi="Barlow" w:cs="Tahoma"/>
          <w:b/>
          <w:sz w:val="24"/>
          <w:szCs w:val="28"/>
          <w:lang w:val="en-US"/>
        </w:rPr>
      </w:pPr>
    </w:p>
    <w:p w14:paraId="550C93FE" w14:textId="77777777" w:rsidR="00E066D4" w:rsidRPr="00AB28AB" w:rsidRDefault="00E066D4" w:rsidP="00AB28AB">
      <w:pPr>
        <w:spacing w:after="0" w:line="240" w:lineRule="auto"/>
        <w:jc w:val="both"/>
        <w:rPr>
          <w:rFonts w:ascii="Barlow" w:hAnsi="Barlow" w:cs="Tahoma"/>
          <w:b/>
          <w:sz w:val="24"/>
          <w:szCs w:val="28"/>
          <w:lang w:val="en-US"/>
        </w:rPr>
      </w:pPr>
    </w:p>
    <w:p w14:paraId="5E964E7D" w14:textId="77777777" w:rsidR="00E066D4" w:rsidRPr="00160103" w:rsidRDefault="005847FB" w:rsidP="005700FF">
      <w:pPr>
        <w:spacing w:after="0" w:line="360" w:lineRule="auto"/>
        <w:jc w:val="both"/>
        <w:rPr>
          <w:rFonts w:ascii="Barlow" w:eastAsia="Lustria" w:hAnsi="Barlow" w:cs="Lustria"/>
          <w:sz w:val="26"/>
          <w:szCs w:val="26"/>
          <w:lang w:val="en-US"/>
        </w:rPr>
      </w:pPr>
      <w:r w:rsidRPr="00160103">
        <w:rPr>
          <w:rFonts w:ascii="Barlow" w:hAnsi="Barlow" w:cs="Tahoma"/>
          <w:b/>
          <w:sz w:val="26"/>
          <w:szCs w:val="30"/>
          <w:lang w:val="en-US"/>
        </w:rPr>
        <w:t>INTRODUCTION</w:t>
      </w:r>
      <w:r w:rsidR="00E15FC5" w:rsidRPr="00160103">
        <w:rPr>
          <w:rFonts w:ascii="Barlow" w:hAnsi="Barlow" w:cs="Tahoma"/>
          <w:b/>
          <w:sz w:val="26"/>
          <w:szCs w:val="26"/>
          <w:lang w:val="en-US"/>
        </w:rPr>
        <w:t xml:space="preserve"> </w:t>
      </w:r>
      <w:bookmarkEnd w:id="0"/>
      <w:bookmarkEnd w:id="1"/>
    </w:p>
    <w:p w14:paraId="474DFBBC"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Inclusive education has emerged as a cornerstone of educational reform around the world, aligning with global declarations such as the Salamanca Statement (UNESCO, 1994) and the Sustainable Development Goals, particularly SDG 4, which emphasi</w:t>
      </w:r>
      <w:r w:rsidR="00AB28AB">
        <w:rPr>
          <w:rFonts w:ascii="Barlow" w:eastAsia="Lustria" w:hAnsi="Barlow" w:cs="Lustria"/>
          <w:sz w:val="24"/>
          <w:szCs w:val="24"/>
        </w:rPr>
        <w:t>s</w:t>
      </w:r>
      <w:r w:rsidRPr="00160103">
        <w:rPr>
          <w:rFonts w:ascii="Barlow" w:eastAsia="Lustria" w:hAnsi="Barlow" w:cs="Lustria"/>
          <w:sz w:val="24"/>
          <w:szCs w:val="24"/>
        </w:rPr>
        <w:t xml:space="preserve">es inclusive and equitable quality education for all (UNESCO, 2017). The core tenet of inclusive education is the belief that all children, regardless of physical, intellectual, </w:t>
      </w:r>
      <w:r w:rsidRPr="00160103">
        <w:rPr>
          <w:rFonts w:ascii="Barlow" w:eastAsia="Lustria" w:hAnsi="Barlow" w:cs="Lustria"/>
          <w:sz w:val="24"/>
          <w:szCs w:val="24"/>
        </w:rPr>
        <w:lastRenderedPageBreak/>
        <w:t>social, emotional, linguistic, or other conditions, should have access to quality education in regular schools (Ainscow &amp; Miles, 2008).</w:t>
      </w:r>
    </w:p>
    <w:p w14:paraId="15BF2B79"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Physical Education (PE), traditionally regarded as a subject that emphasi</w:t>
      </w:r>
      <w:r w:rsidR="00AB28AB">
        <w:rPr>
          <w:rFonts w:ascii="Barlow" w:eastAsia="Lustria" w:hAnsi="Barlow" w:cs="Lustria"/>
          <w:sz w:val="24"/>
          <w:szCs w:val="24"/>
        </w:rPr>
        <w:t>s</w:t>
      </w:r>
      <w:r w:rsidRPr="00160103">
        <w:rPr>
          <w:rFonts w:ascii="Barlow" w:eastAsia="Lustria" w:hAnsi="Barlow" w:cs="Lustria"/>
          <w:sz w:val="24"/>
          <w:szCs w:val="24"/>
        </w:rPr>
        <w:t>es motor skill development, teamwork, and health awareness, faces unique challenges and opportunities in the inclusive setting. Unlike academic subjects</w:t>
      </w:r>
      <w:r w:rsidR="00AB28AB">
        <w:rPr>
          <w:rFonts w:ascii="Barlow" w:eastAsia="Lustria" w:hAnsi="Barlow" w:cs="Lustria"/>
          <w:sz w:val="24"/>
          <w:szCs w:val="24"/>
        </w:rPr>
        <w:t>,</w:t>
      </w:r>
      <w:r w:rsidRPr="00160103">
        <w:rPr>
          <w:rFonts w:ascii="Barlow" w:eastAsia="Lustria" w:hAnsi="Barlow" w:cs="Lustria"/>
          <w:sz w:val="24"/>
          <w:szCs w:val="24"/>
        </w:rPr>
        <w:t xml:space="preserve"> where differentiation may be done quietly at the desk level, PE requires shared physical space, direct peer interaction, and visible competence (Block &amp; Obrusnikova, 2007). This creates both a dynamic and potentially exclusionary environment, especially for students with disabilities (Lieberman et al., 2017).</w:t>
      </w:r>
    </w:p>
    <w:p w14:paraId="61F38211"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In addition, inclusive education can provide the widest possible opportunities for all students, including children with special needs, with a purpose. Inclusive education, on the other hand, is an educational service system that allows children with special needs to attend a nearby school and participate in regular classes with students their age (Amiruddin, M. Z., Widihastrini, F., &amp; Bektiningsih, 2021). </w:t>
      </w:r>
    </w:p>
    <w:p w14:paraId="55D1C075"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Children with special needs differ from ordinary children in terms of education because they have what are called barriers to learning and development. Therefore, they need an education that is in accordance with the learning barriers and developmental barriers they experience (Setyaningsih et al., 2021). </w:t>
      </w:r>
    </w:p>
    <w:p w14:paraId="6AD13320" w14:textId="77777777" w:rsidR="00160103" w:rsidRPr="00160103" w:rsidRDefault="00160103" w:rsidP="00160103">
      <w:pPr>
        <w:widowControl w:val="0"/>
        <w:spacing w:after="0"/>
        <w:ind w:firstLine="567"/>
        <w:jc w:val="both"/>
        <w:rPr>
          <w:rFonts w:ascii="Barlow" w:eastAsia="Lustria" w:hAnsi="Barlow" w:cs="Lustria"/>
          <w:sz w:val="24"/>
          <w:szCs w:val="24"/>
        </w:rPr>
      </w:pPr>
      <w:r w:rsidRPr="00AB28AB">
        <w:rPr>
          <w:rFonts w:ascii="Barlow" w:eastAsia="Lustria" w:hAnsi="Barlow" w:cs="Lustria"/>
          <w:spacing w:val="-6"/>
          <w:sz w:val="24"/>
          <w:szCs w:val="24"/>
        </w:rPr>
        <w:t xml:space="preserve">In </w:t>
      </w:r>
      <w:r w:rsidR="00AB28AB" w:rsidRPr="00AB28AB">
        <w:rPr>
          <w:rFonts w:ascii="Barlow" w:eastAsia="Lustria" w:hAnsi="Barlow" w:cs="Lustria"/>
          <w:spacing w:val="-6"/>
          <w:sz w:val="24"/>
          <w:szCs w:val="24"/>
        </w:rPr>
        <w:t xml:space="preserve">an </w:t>
      </w:r>
      <w:r w:rsidRPr="00AB28AB">
        <w:rPr>
          <w:rFonts w:ascii="Barlow" w:eastAsia="Lustria" w:hAnsi="Barlow" w:cs="Lustria"/>
          <w:spacing w:val="-6"/>
          <w:sz w:val="24"/>
          <w:szCs w:val="24"/>
        </w:rPr>
        <w:t>inclusive classroom learning, there are various kinds of children's personalities, including children with special needs and abilities. According to (Phytanza et al.</w:t>
      </w:r>
      <w:r w:rsidR="00AB28AB">
        <w:rPr>
          <w:rFonts w:ascii="Barlow" w:eastAsia="Lustria" w:hAnsi="Barlow" w:cs="Lustria"/>
          <w:spacing w:val="-6"/>
          <w:sz w:val="24"/>
          <w:szCs w:val="24"/>
        </w:rPr>
        <w:t xml:space="preserve"> (</w:t>
      </w:r>
      <w:r w:rsidRPr="00AB28AB">
        <w:rPr>
          <w:rFonts w:ascii="Barlow" w:eastAsia="Lustria" w:hAnsi="Barlow" w:cs="Lustria"/>
          <w:spacing w:val="-6"/>
          <w:sz w:val="24"/>
          <w:szCs w:val="24"/>
        </w:rPr>
        <w:t>2023)</w:t>
      </w:r>
      <w:r w:rsidR="00AB28AB" w:rsidRPr="00AB28AB">
        <w:rPr>
          <w:rFonts w:ascii="Barlow" w:eastAsia="Lustria" w:hAnsi="Barlow" w:cs="Lustria"/>
          <w:spacing w:val="-6"/>
          <w:sz w:val="24"/>
          <w:szCs w:val="24"/>
        </w:rPr>
        <w:t>,</w:t>
      </w:r>
      <w:r w:rsidRPr="00AB28AB">
        <w:rPr>
          <w:rFonts w:ascii="Barlow" w:eastAsia="Lustria" w:hAnsi="Barlow" w:cs="Lustria"/>
          <w:spacing w:val="-6"/>
          <w:sz w:val="24"/>
          <w:szCs w:val="24"/>
        </w:rPr>
        <w:t xml:space="preserve"> </w:t>
      </w:r>
      <w:r w:rsidR="00AB28AB" w:rsidRPr="00AB28AB">
        <w:rPr>
          <w:rFonts w:ascii="Barlow" w:eastAsia="Lustria" w:hAnsi="Barlow" w:cs="Lustria"/>
          <w:spacing w:val="-6"/>
          <w:sz w:val="24"/>
          <w:szCs w:val="24"/>
        </w:rPr>
        <w:t>i</w:t>
      </w:r>
      <w:r w:rsidRPr="00AB28AB">
        <w:rPr>
          <w:rFonts w:ascii="Barlow" w:eastAsia="Lustria" w:hAnsi="Barlow" w:cs="Lustria"/>
          <w:spacing w:val="-6"/>
          <w:sz w:val="24"/>
          <w:szCs w:val="24"/>
        </w:rPr>
        <w:t>n these cases, inclusive education includes the placement of children with mild, moderate, and severe disorders in full regular classes. This suggests that regular classes can be a relevant learning ground for children with disabilities, no matter the type or degree of the disorder</w:t>
      </w:r>
      <w:r w:rsidRPr="00160103">
        <w:rPr>
          <w:rFonts w:ascii="Barlow" w:eastAsia="Lustria" w:hAnsi="Barlow" w:cs="Lustria"/>
          <w:sz w:val="24"/>
          <w:szCs w:val="24"/>
        </w:rPr>
        <w:t>.</w:t>
      </w:r>
    </w:p>
    <w:p w14:paraId="76A33EAB"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There are regulations created at the national and local levels to support inclusive education. Article 3 paragraph (1) of the Regulation of the Minister of National Education (Permendiknas) Number 70 of 2009 concerning Inclusive Education for Students with Disabilities and Has the Potential for Intelligence and/or Special Talents stipulates that every student who has physical, emotional, mental, or social disorders or has special talents is entitled to access inclusion education in certain educational units according to their needs and abilities (Arriani, F., 2022). </w:t>
      </w:r>
    </w:p>
    <w:p w14:paraId="6FA823A0"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While inclusive education has been widely implemented in academic subjects, inclusion within Physical Education remains under-researched and under-implemented, particularly in developing countries (Wilhelmsen &amp; Sørensen, 2017). Physical Education teachers often encounter difficulties adjusting instruction to cater to the wide range of physical and cognitive abilities found in inclusive classrooms (Qi &amp; Ha, 2012). In elementary school contexts, where foundational attitudes and behavio</w:t>
      </w:r>
      <w:r w:rsidR="00AB28AB">
        <w:rPr>
          <w:rFonts w:ascii="Barlow" w:eastAsia="Lustria" w:hAnsi="Barlow" w:cs="Lustria"/>
          <w:sz w:val="24"/>
          <w:szCs w:val="24"/>
        </w:rPr>
        <w:t>u</w:t>
      </w:r>
      <w:r w:rsidRPr="00160103">
        <w:rPr>
          <w:rFonts w:ascii="Barlow" w:eastAsia="Lustria" w:hAnsi="Barlow" w:cs="Lustria"/>
          <w:sz w:val="24"/>
          <w:szCs w:val="24"/>
        </w:rPr>
        <w:t>rs toward diversity are formed, PE becomes a vital space to teach not only movement but also empathy, respect, and inclusion (Grenier, 2011).</w:t>
      </w:r>
    </w:p>
    <w:p w14:paraId="206B948F"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Research from developed nations shows that teachers’ perceptions of inclusion greatly influence their willingness and ability to adapt their teaching methods (Block et al., 2013; Healy et al., 2013). Teachers with positive attitudes toward inclusion are more likely to implement inclusive practices, while those with negative perceptions often cite </w:t>
      </w:r>
      <w:r w:rsidRPr="00160103">
        <w:rPr>
          <w:rFonts w:ascii="Barlow" w:eastAsia="Lustria" w:hAnsi="Barlow" w:cs="Lustria"/>
          <w:sz w:val="24"/>
          <w:szCs w:val="24"/>
        </w:rPr>
        <w:lastRenderedPageBreak/>
        <w:t>a lack of training, resources, or institutional support (Morley et al., 2005; Vickerman &amp; Coates, 2009). However, the contextual factors affecting these perceptions in rural or semi-urban areas in Southeast Asia remain underexplored.</w:t>
      </w:r>
    </w:p>
    <w:p w14:paraId="5A2EE6EC"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Physical education learning becomes more difficult for Physical Education teachers to meet all children's movement needs and increase their potential. In reality, not all children with special needs receive physical education services that suit their needs because not all Physical Education teachers understand and understand the services that must be provided to children with special needs. In the modern era, education must be more focused on learning children's knowledge and skills. </w:t>
      </w:r>
    </w:p>
    <w:p w14:paraId="545DD5AF"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Based on this limitation</w:t>
      </w:r>
      <w:r w:rsidR="00AB28AB">
        <w:rPr>
          <w:rFonts w:ascii="Barlow" w:eastAsia="Lustria" w:hAnsi="Barlow" w:cs="Lustria"/>
          <w:sz w:val="24"/>
          <w:szCs w:val="24"/>
        </w:rPr>
        <w:t>,</w:t>
      </w:r>
      <w:r w:rsidRPr="00160103">
        <w:rPr>
          <w:rFonts w:ascii="Barlow" w:eastAsia="Lustria" w:hAnsi="Barlow" w:cs="Lustria"/>
          <w:sz w:val="24"/>
          <w:szCs w:val="24"/>
        </w:rPr>
        <w:t xml:space="preserve"> according to Arriani F.</w:t>
      </w:r>
      <w:r w:rsidR="00AB28AB">
        <w:rPr>
          <w:rFonts w:ascii="Barlow" w:eastAsia="Lustria" w:hAnsi="Barlow" w:cs="Lustria"/>
          <w:sz w:val="24"/>
          <w:szCs w:val="24"/>
        </w:rPr>
        <w:t xml:space="preserve"> (</w:t>
      </w:r>
      <w:r w:rsidRPr="00160103">
        <w:rPr>
          <w:rFonts w:ascii="Barlow" w:eastAsia="Lustria" w:hAnsi="Barlow" w:cs="Lustria"/>
          <w:sz w:val="24"/>
          <w:szCs w:val="24"/>
        </w:rPr>
        <w:t>2022)</w:t>
      </w:r>
      <w:r w:rsidR="00AB28AB">
        <w:rPr>
          <w:rFonts w:ascii="Barlow" w:eastAsia="Lustria" w:hAnsi="Barlow" w:cs="Lustria"/>
          <w:sz w:val="24"/>
          <w:szCs w:val="24"/>
        </w:rPr>
        <w:t>,</w:t>
      </w:r>
      <w:r w:rsidRPr="00160103">
        <w:rPr>
          <w:rFonts w:ascii="Barlow" w:eastAsia="Lustria" w:hAnsi="Barlow" w:cs="Lustria"/>
          <w:sz w:val="24"/>
          <w:szCs w:val="24"/>
        </w:rPr>
        <w:t xml:space="preserve"> Schools must provide educational programs that suit the specific needs of each child. The main principle of the implementation of inclusive education is that all students</w:t>
      </w:r>
      <w:r w:rsidR="00AB28AB">
        <w:rPr>
          <w:rFonts w:ascii="Barlow" w:eastAsia="Lustria" w:hAnsi="Barlow" w:cs="Lustria"/>
          <w:sz w:val="24"/>
          <w:szCs w:val="24"/>
        </w:rPr>
        <w:t>,</w:t>
      </w:r>
      <w:r w:rsidRPr="00160103">
        <w:rPr>
          <w:rFonts w:ascii="Barlow" w:eastAsia="Lustria" w:hAnsi="Barlow" w:cs="Lustria"/>
          <w:sz w:val="24"/>
          <w:szCs w:val="24"/>
        </w:rPr>
        <w:t xml:space="preserve"> without exception</w:t>
      </w:r>
      <w:r w:rsidR="00AB28AB">
        <w:rPr>
          <w:rFonts w:ascii="Barlow" w:eastAsia="Lustria" w:hAnsi="Barlow" w:cs="Lustria"/>
          <w:sz w:val="24"/>
          <w:szCs w:val="24"/>
        </w:rPr>
        <w:t>,</w:t>
      </w:r>
      <w:r w:rsidRPr="00160103">
        <w:rPr>
          <w:rFonts w:ascii="Barlow" w:eastAsia="Lustria" w:hAnsi="Barlow" w:cs="Lustria"/>
          <w:sz w:val="24"/>
          <w:szCs w:val="24"/>
        </w:rPr>
        <w:t xml:space="preserve"> can learn and that differences become a force in developing their potential. Students with special needs must be present in class to be accepted and participate, which is a common principle in inclusion education. </w:t>
      </w:r>
    </w:p>
    <w:p w14:paraId="2EDB6E45"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One of the important figures in learning in schools is teachers, because teachers interact directly with students, both students with special needs and students with</w:t>
      </w:r>
      <w:r w:rsidR="00AB28AB">
        <w:rPr>
          <w:rFonts w:ascii="Barlow" w:eastAsia="Lustria" w:hAnsi="Barlow" w:cs="Lustria"/>
          <w:sz w:val="24"/>
          <w:szCs w:val="24"/>
        </w:rPr>
        <w:t>out</w:t>
      </w:r>
      <w:r w:rsidRPr="00160103">
        <w:rPr>
          <w:rFonts w:ascii="Barlow" w:eastAsia="Lustria" w:hAnsi="Barlow" w:cs="Lustria"/>
          <w:sz w:val="24"/>
          <w:szCs w:val="24"/>
        </w:rPr>
        <w:t xml:space="preserve"> special needs. A teacher is expected to be able to provide classroom life to be warmer and at the same time provide understanding to other students to be able to interact with each other (Lubna, 2021). Physical Education Teachers are figures who reali</w:t>
      </w:r>
      <w:r w:rsidR="00AB28AB">
        <w:rPr>
          <w:rFonts w:ascii="Barlow" w:eastAsia="Lustria" w:hAnsi="Barlow" w:cs="Lustria"/>
          <w:sz w:val="24"/>
          <w:szCs w:val="24"/>
        </w:rPr>
        <w:t>s</w:t>
      </w:r>
      <w:r w:rsidRPr="00160103">
        <w:rPr>
          <w:rFonts w:ascii="Barlow" w:eastAsia="Lustria" w:hAnsi="Barlow" w:cs="Lustria"/>
          <w:sz w:val="24"/>
          <w:szCs w:val="24"/>
        </w:rPr>
        <w:t xml:space="preserve">e how much their existence means in this inclusive education process in terms of the curriculum in schools and the models that will be taught in inclusive learning. As a result, teachers must be a good example for their students (Mutia et al., 2019). Considering the role of Physical Education teachers in building inclusive schools, it is very important. </w:t>
      </w:r>
    </w:p>
    <w:p w14:paraId="332222C9"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Children with special needs need more movement than other students. This is because they have difficulty and require more movement than other students because they have difficulty responding to environmental stimuli to perform movements, mimic movements, and may even experience physical disturbances</w:t>
      </w:r>
      <w:r w:rsidR="00AB28AB">
        <w:rPr>
          <w:rFonts w:ascii="Barlow" w:eastAsia="Lustria" w:hAnsi="Barlow" w:cs="Lustria"/>
          <w:sz w:val="24"/>
          <w:szCs w:val="24"/>
        </w:rPr>
        <w:t>,</w:t>
      </w:r>
      <w:r w:rsidRPr="00160103">
        <w:rPr>
          <w:rFonts w:ascii="Barlow" w:eastAsia="Lustria" w:hAnsi="Barlow" w:cs="Lustria"/>
          <w:sz w:val="24"/>
          <w:szCs w:val="24"/>
        </w:rPr>
        <w:t xml:space="preserve"> so that they cannot perform directed movements (Taufan et al., 2018). </w:t>
      </w:r>
    </w:p>
    <w:p w14:paraId="3F9D4B11" w14:textId="77777777" w:rsidR="00160103" w:rsidRPr="00AB28AB" w:rsidRDefault="00160103" w:rsidP="00160103">
      <w:pPr>
        <w:widowControl w:val="0"/>
        <w:spacing w:after="0"/>
        <w:ind w:firstLine="567"/>
        <w:jc w:val="both"/>
        <w:rPr>
          <w:rFonts w:ascii="Barlow" w:eastAsia="Lustria" w:hAnsi="Barlow" w:cs="Lustria"/>
          <w:spacing w:val="-4"/>
          <w:sz w:val="24"/>
          <w:szCs w:val="24"/>
        </w:rPr>
      </w:pPr>
      <w:r w:rsidRPr="00AB28AB">
        <w:rPr>
          <w:rFonts w:ascii="Barlow" w:eastAsia="Lustria" w:hAnsi="Barlow" w:cs="Lustria"/>
          <w:spacing w:val="-4"/>
          <w:sz w:val="24"/>
          <w:szCs w:val="24"/>
        </w:rPr>
        <w:t>In Indonesia, the government has implemented inclusive education policies through Permendiknas No. 70/2009, which mandates the provision of inclusive classes across educational levels. However, the successful implementation of these policies depends heavily on teacher readiness and perception (Putri et al., 2022). In the context of Physical Education, these challenges become more pronounced due to the physical demands of the subject and the often-limited infrastructure in elementary schools (Suyatno et al., 2021).</w:t>
      </w:r>
    </w:p>
    <w:p w14:paraId="1055A10C" w14:textId="77777777" w:rsidR="00160103" w:rsidRPr="00AB28AB" w:rsidRDefault="00160103" w:rsidP="00160103">
      <w:pPr>
        <w:widowControl w:val="0"/>
        <w:spacing w:after="0"/>
        <w:ind w:firstLine="567"/>
        <w:jc w:val="both"/>
        <w:rPr>
          <w:rFonts w:ascii="Barlow" w:eastAsia="Lustria" w:hAnsi="Barlow" w:cs="Lustria"/>
          <w:spacing w:val="-4"/>
          <w:sz w:val="24"/>
          <w:szCs w:val="24"/>
        </w:rPr>
      </w:pPr>
      <w:r w:rsidRPr="00AB28AB">
        <w:rPr>
          <w:rFonts w:ascii="Barlow" w:eastAsia="Lustria" w:hAnsi="Barlow" w:cs="Lustria"/>
          <w:spacing w:val="-4"/>
          <w:sz w:val="24"/>
          <w:szCs w:val="24"/>
        </w:rPr>
        <w:t>Martapura District, located in South Kalimantan, presents a unique case study for investigating inclusive PE. The district, like many others in Indonesia, has begun integrating inclusive principles in primary education; however, there is minimal empirical research on how PE teachers perceive and enact these changes in their day-to-day teaching. Understanding these perceptions is critical because teacher beliefs directly affect pedagogical decisions, classroom climate, and student experiences (Sharma &amp; Sokal, 2015).</w:t>
      </w:r>
    </w:p>
    <w:p w14:paraId="401002FB"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A significant body of literature exists on inclusive education globally, yet few </w:t>
      </w:r>
      <w:r w:rsidRPr="00160103">
        <w:rPr>
          <w:rFonts w:ascii="Barlow" w:eastAsia="Lustria" w:hAnsi="Barlow" w:cs="Lustria"/>
          <w:sz w:val="24"/>
          <w:szCs w:val="24"/>
        </w:rPr>
        <w:lastRenderedPageBreak/>
        <w:t>studies have specifically addressed the domain of Physical Education in Indonesian elementary schools. Even fewer have examined the perceptions of PE teachers in rural districts such as Martapura. Most studies in Indonesia have focused on inclusive academic instruction (Setiawan et al., 2021) or teacher attitudes in urban inclusive schools (Handayani et al., 2020), overlooking PE as a core subject that plays a pivotal role in physical, cognitive, and social development.</w:t>
      </w:r>
    </w:p>
    <w:p w14:paraId="414F24CF"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Moreover, the majority of existing research has taken a qualitative or policy-analysis approach. There is a dearth of descriptive-quantitative studies that provide measurable insights into how inclusive education is perceived and implemented in the PE context at the elementary level (Kurniawan et al., 2021). This study aims to fill that gap by systematically analy</w:t>
      </w:r>
      <w:r w:rsidR="00AB28AB">
        <w:rPr>
          <w:rFonts w:ascii="Barlow" w:eastAsia="Lustria" w:hAnsi="Barlow" w:cs="Lustria"/>
          <w:sz w:val="24"/>
          <w:szCs w:val="24"/>
        </w:rPr>
        <w:t>s</w:t>
      </w:r>
      <w:r w:rsidRPr="00160103">
        <w:rPr>
          <w:rFonts w:ascii="Barlow" w:eastAsia="Lustria" w:hAnsi="Barlow" w:cs="Lustria"/>
          <w:sz w:val="24"/>
          <w:szCs w:val="24"/>
        </w:rPr>
        <w:t>ing the perceptions of PE teachers regarding inclusive education and identifying the factors that shape these views.</w:t>
      </w:r>
    </w:p>
    <w:p w14:paraId="1443F9EF" w14:textId="77777777" w:rsidR="00160103" w:rsidRP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The novelty of this study lies in its specific focus on:</w:t>
      </w:r>
      <w:r>
        <w:rPr>
          <w:rFonts w:ascii="Barlow" w:eastAsia="Lustria" w:hAnsi="Barlow" w:cs="Lustria"/>
          <w:sz w:val="24"/>
          <w:szCs w:val="24"/>
        </w:rPr>
        <w:t xml:space="preserve"> (1) </w:t>
      </w:r>
      <w:r w:rsidRPr="00160103">
        <w:rPr>
          <w:rFonts w:ascii="Barlow" w:eastAsia="Lustria" w:hAnsi="Barlow" w:cs="Lustria"/>
          <w:sz w:val="24"/>
          <w:szCs w:val="24"/>
        </w:rPr>
        <w:t>Physical Education Teachers – Unlike prior research that mainly surveyed classroom or special education teachers, this study targets PE teachers whose subject is uniquely impacted by inclusion dynamics</w:t>
      </w:r>
      <w:r>
        <w:rPr>
          <w:rFonts w:ascii="Barlow" w:eastAsia="Lustria" w:hAnsi="Barlow" w:cs="Lustria"/>
          <w:sz w:val="24"/>
          <w:szCs w:val="24"/>
        </w:rPr>
        <w:t xml:space="preserve">, (2) </w:t>
      </w:r>
      <w:r w:rsidRPr="00160103">
        <w:rPr>
          <w:rFonts w:ascii="Barlow" w:eastAsia="Lustria" w:hAnsi="Barlow" w:cs="Lustria"/>
          <w:sz w:val="24"/>
          <w:szCs w:val="24"/>
        </w:rPr>
        <w:t>Elementary Schools in Rural Indonesia – The geographic focus on Martapura District offers insight into the challenges and adaptations in less urbanized areas, which are underrepresented in current literature</w:t>
      </w:r>
      <w:r>
        <w:rPr>
          <w:rFonts w:ascii="Barlow" w:eastAsia="Lustria" w:hAnsi="Barlow" w:cs="Lustria"/>
          <w:sz w:val="24"/>
          <w:szCs w:val="24"/>
        </w:rPr>
        <w:t xml:space="preserve">, (3) </w:t>
      </w:r>
      <w:r w:rsidRPr="00160103">
        <w:rPr>
          <w:rFonts w:ascii="Barlow" w:eastAsia="Lustria" w:hAnsi="Barlow" w:cs="Lustria"/>
          <w:sz w:val="24"/>
          <w:szCs w:val="24"/>
        </w:rPr>
        <w:t>Structured Perception Analysis – The study utilizes validated survey instruments to quantify perceptions and analyze how these perceptions correlate with factors such as teaching experience, training, and school infrastructure.</w:t>
      </w:r>
    </w:p>
    <w:p w14:paraId="0ED80C69" w14:textId="77777777" w:rsidR="00160103" w:rsidRPr="00AB28AB" w:rsidRDefault="00160103" w:rsidP="00160103">
      <w:pPr>
        <w:widowControl w:val="0"/>
        <w:spacing w:after="0"/>
        <w:ind w:firstLine="567"/>
        <w:jc w:val="both"/>
        <w:rPr>
          <w:rFonts w:ascii="Barlow" w:eastAsia="Lustria" w:hAnsi="Barlow" w:cs="Lustria"/>
          <w:spacing w:val="-4"/>
          <w:sz w:val="24"/>
          <w:szCs w:val="24"/>
        </w:rPr>
      </w:pPr>
      <w:r w:rsidRPr="00AB28AB">
        <w:rPr>
          <w:rFonts w:ascii="Barlow" w:eastAsia="Lustria" w:hAnsi="Barlow" w:cs="Lustria"/>
          <w:spacing w:val="-4"/>
          <w:sz w:val="24"/>
          <w:szCs w:val="24"/>
        </w:rPr>
        <w:t>This study seeks to explore and understand how Physical Education teachers in Martapura District perceive inclusive learning environments. The main research questions are: (1) What are the general perceptions of PE teachers toward inclusive learning?, (2) What challenges do they face in implementing inclusive PE in elementary schools?, and (3) What institutional, personal, and environmental factors influence these perceptions?</w:t>
      </w:r>
    </w:p>
    <w:p w14:paraId="1160CFAB" w14:textId="77777777" w:rsidR="00160103" w:rsidRDefault="00160103"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By answering these questions, the study contributes to a better understanding of how inclusive education policies are internali</w:t>
      </w:r>
      <w:r w:rsidR="00AB28AB">
        <w:rPr>
          <w:rFonts w:ascii="Barlow" w:eastAsia="Lustria" w:hAnsi="Barlow" w:cs="Lustria"/>
          <w:sz w:val="24"/>
          <w:szCs w:val="24"/>
        </w:rPr>
        <w:t>s</w:t>
      </w:r>
      <w:r w:rsidRPr="00160103">
        <w:rPr>
          <w:rFonts w:ascii="Barlow" w:eastAsia="Lustria" w:hAnsi="Barlow" w:cs="Lustria"/>
          <w:sz w:val="24"/>
          <w:szCs w:val="24"/>
        </w:rPr>
        <w:t>ed and practi</w:t>
      </w:r>
      <w:r w:rsidR="00AB28AB">
        <w:rPr>
          <w:rFonts w:ascii="Barlow" w:eastAsia="Lustria" w:hAnsi="Barlow" w:cs="Lustria"/>
          <w:sz w:val="24"/>
          <w:szCs w:val="24"/>
        </w:rPr>
        <w:t>s</w:t>
      </w:r>
      <w:r w:rsidRPr="00160103">
        <w:rPr>
          <w:rFonts w:ascii="Barlow" w:eastAsia="Lustria" w:hAnsi="Barlow" w:cs="Lustria"/>
          <w:sz w:val="24"/>
          <w:szCs w:val="24"/>
        </w:rPr>
        <w:t>ed by front-line educators. Furthermore, the findings may guide policy adjustments, teacher training programs, and curriculum design for inclusive PE across Indonesia.</w:t>
      </w:r>
    </w:p>
    <w:p w14:paraId="4A0B9D73" w14:textId="77777777" w:rsidR="00160103" w:rsidRDefault="00160103" w:rsidP="00160103">
      <w:pPr>
        <w:widowControl w:val="0"/>
        <w:spacing w:after="0"/>
        <w:ind w:firstLine="720"/>
        <w:jc w:val="both"/>
        <w:rPr>
          <w:rFonts w:ascii="Barlow" w:eastAsia="Lustria" w:hAnsi="Barlow" w:cs="Lustria"/>
          <w:sz w:val="24"/>
          <w:szCs w:val="24"/>
        </w:rPr>
      </w:pPr>
    </w:p>
    <w:p w14:paraId="3AA425CF" w14:textId="77777777" w:rsidR="0052620C" w:rsidRPr="00160103" w:rsidRDefault="0052620C" w:rsidP="000F6C7D">
      <w:pPr>
        <w:spacing w:after="0"/>
        <w:ind w:firstLine="567"/>
        <w:jc w:val="both"/>
        <w:rPr>
          <w:rFonts w:ascii="Barlow" w:hAnsi="Barlow" w:cs="Tahoma"/>
          <w:szCs w:val="26"/>
          <w:lang w:val="en-US"/>
        </w:rPr>
      </w:pPr>
    </w:p>
    <w:p w14:paraId="464B58A8" w14:textId="77777777" w:rsidR="00111933" w:rsidRPr="00160103" w:rsidRDefault="00111933" w:rsidP="00E15FC5">
      <w:pPr>
        <w:spacing w:after="0" w:line="360" w:lineRule="auto"/>
        <w:jc w:val="both"/>
        <w:rPr>
          <w:rFonts w:ascii="Barlow" w:hAnsi="Barlow" w:cs="Tahoma"/>
          <w:b/>
          <w:bCs/>
          <w:sz w:val="28"/>
          <w:szCs w:val="32"/>
          <w:lang w:val="en-US"/>
        </w:rPr>
      </w:pPr>
      <w:r w:rsidRPr="00160103">
        <w:rPr>
          <w:rFonts w:ascii="Barlow" w:hAnsi="Barlow" w:cs="Tahoma"/>
          <w:b/>
          <w:bCs/>
          <w:sz w:val="26"/>
          <w:szCs w:val="30"/>
        </w:rPr>
        <w:t>MET</w:t>
      </w:r>
      <w:r w:rsidRPr="00160103">
        <w:rPr>
          <w:rFonts w:ascii="Barlow" w:hAnsi="Barlow" w:cs="Tahoma"/>
          <w:b/>
          <w:bCs/>
          <w:sz w:val="26"/>
          <w:szCs w:val="30"/>
          <w:lang w:val="en-US"/>
        </w:rPr>
        <w:t>HODS</w:t>
      </w:r>
      <w:r w:rsidR="00E15FC5" w:rsidRPr="00160103">
        <w:rPr>
          <w:rFonts w:ascii="Barlow" w:hAnsi="Barlow" w:cs="Tahoma"/>
          <w:b/>
          <w:bCs/>
          <w:sz w:val="26"/>
          <w:szCs w:val="30"/>
          <w:lang w:val="en-US"/>
        </w:rPr>
        <w:t xml:space="preserve"> </w:t>
      </w:r>
    </w:p>
    <w:p w14:paraId="5394F26E" w14:textId="77777777" w:rsidR="00B30CD7" w:rsidRPr="00160103" w:rsidRDefault="00B30CD7" w:rsidP="00AB28AB">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This study aims to determine the perception of Physical Education teachers towards inclusive learning in Martapura District Elementary School using a quantitative descriptive method. According to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{"citationItems":[{"id":"ITEM-1","itemData":{"DOI":"10.19184/kdma.v13i1.31327","ISSN":"2085-0662","abstract":"The purpose of this study was to analyze students' learning motivation in blended learning in class X MIPA 5 SMAN 1 Babadan during the covid-19 pandemic. The implementation of this research starts on November 9, 2021 – February 8, 2022. This research is a quantitative descriptive study conducted on 38 students of Mathematics and Natural Sciences class 5 students. This study uses a questionnaire based on indicators of learning motivation by Hamzah as a data collection technique. The results obtained from this study are that there are differences in the level of student learning motivation on the indicators of rewards in learning 58.97% with low learning motivation categories, indicators of interesting activities in learning 79.48% with high learning motivation categories, indicators of encouragement and the need for learning is 84.61% with the category of high learning motivation, and the category of learning motivation is very high on the indicators of the existence of hopes and aspirations for the future 94.87%, indicators of the desire and desire to succeed 100% and, indicators of the existence of a good learning environment. conducive 92.30%. The low category on the indicator of appreciation in learning is 58.97% because in blended learning students are required to be able to use communication technology, in this case, a smartphone with an internet network. Students' expertise in using smartphones makes students able to access websites and question-answering applications so that students can immediately get answers to questions without having to work independently or with their abilities. From the description of the research results above, it shows that learning motivation in blended learning in class X MIPA 5 at SMAN 1 Babadan is very high. This is based on the acquisition of the average value of the indicators of student learning motivation of 85.03%","author":[{"dropping-particle":"","family":"Wahyudi","given":"Wahyudi","non-dropping-particle":"","parse-names":false,"suffix":""}],"container-title":"KadikmA","id":"ITEM-1","issue":"1","issued":{"date-parts":[["2022"]]},"page":"68","title":"Analisis Motivasi Belajar Siswa Dengan Menggunakan Model Pembelajaran Blended Learning Saat Pandemi Covid-19 (Deskriptif Kuantitatif Di Sman 1 Babadan Ponorogo)","type":"article-journal","volume":"13"},"uris":["http://www.mendeley.com/documents/?uuid=2bf31315-4b3c-416e-8f2e-353021b23c3a"]}],"mendeley":{"formattedCitation":"(Wahyudi, 2022)","plainTextFormattedCitation":"(Wahyudi, 2022)","previouslyFormattedCitation":"(Wahyudi, 2022)"},"properties":{"noteIndex":0},"schema":"https://github.com/citation-style-language/schema/raw/master/csl-citation.json"}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(Wahyudi</w:t>
      </w:r>
      <w:r w:rsidR="00AB28AB">
        <w:rPr>
          <w:rFonts w:ascii="Barlow" w:eastAsia="Lustria" w:hAnsi="Barlow" w:cs="Lustria"/>
          <w:sz w:val="24"/>
          <w:szCs w:val="24"/>
        </w:rPr>
        <w:t xml:space="preserve"> (</w:t>
      </w:r>
      <w:r w:rsidRPr="00160103">
        <w:rPr>
          <w:rFonts w:ascii="Barlow" w:eastAsia="Lustria" w:hAnsi="Barlow" w:cs="Lustria"/>
          <w:sz w:val="24"/>
          <w:szCs w:val="24"/>
        </w:rPr>
        <w:t>2022)</w:t>
      </w:r>
      <w:r w:rsidRPr="00160103">
        <w:rPr>
          <w:rFonts w:ascii="Barlow" w:eastAsia="Lustria" w:hAnsi="Barlow" w:cs="Lustria"/>
          <w:sz w:val="24"/>
          <w:szCs w:val="24"/>
        </w:rPr>
        <w:fldChar w:fldCharType="end"/>
      </w:r>
      <w:r w:rsidR="00AB28AB">
        <w:rPr>
          <w:rFonts w:ascii="Barlow" w:eastAsia="Lustria" w:hAnsi="Barlow" w:cs="Lustria"/>
          <w:sz w:val="24"/>
          <w:szCs w:val="24"/>
        </w:rPr>
        <w:t>,</w:t>
      </w:r>
      <w:r w:rsidRPr="00160103">
        <w:rPr>
          <w:rFonts w:ascii="Barlow" w:eastAsia="Lustria" w:hAnsi="Barlow" w:cs="Lustria"/>
          <w:sz w:val="24"/>
          <w:szCs w:val="24"/>
        </w:rPr>
        <w:t xml:space="preserve"> Quantitative descriptive research is </w:t>
      </w:r>
      <w:r w:rsidR="00AB28AB">
        <w:rPr>
          <w:rFonts w:ascii="Barlow" w:eastAsia="Lustria" w:hAnsi="Barlow" w:cs="Lustria"/>
          <w:sz w:val="24"/>
          <w:szCs w:val="24"/>
        </w:rPr>
        <w:t xml:space="preserve">used </w:t>
      </w:r>
      <w:r w:rsidRPr="00160103">
        <w:rPr>
          <w:rFonts w:ascii="Barlow" w:eastAsia="Lustria" w:hAnsi="Barlow" w:cs="Lustria"/>
          <w:sz w:val="24"/>
          <w:szCs w:val="24"/>
        </w:rPr>
        <w:t xml:space="preserve">to describe, research, and explain something that is studied as it is, and </w:t>
      </w:r>
      <w:r w:rsidR="00AB28AB">
        <w:rPr>
          <w:rFonts w:ascii="Barlow" w:eastAsia="Lustria" w:hAnsi="Barlow" w:cs="Lustria"/>
          <w:sz w:val="24"/>
          <w:szCs w:val="24"/>
        </w:rPr>
        <w:t>conclude</w:t>
      </w:r>
      <w:r w:rsidRPr="00160103">
        <w:rPr>
          <w:rFonts w:ascii="Barlow" w:eastAsia="Lustria" w:hAnsi="Barlow" w:cs="Lustria"/>
          <w:sz w:val="24"/>
          <w:szCs w:val="24"/>
        </w:rPr>
        <w:t xml:space="preserve"> observable phenomena using numbers. Research is a process of seeking the truth about a phenomenon or fact that occurs in a structured and systematic way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{"citationItems":[{"id":"ITEM-1","itemData":{"DOI":"https://doi.org/10.31219/osf.io/svu73","abstract":"Objective: This study attempt to quantitative assessment of journal productivity by the number of articles published in Pharmacognosy Magazine publications between 2011 and 2020. The present study provides a detailed scientometric analysis of publications by year</w:instrText>
      </w:r>
      <w:r w:rsidRPr="00160103">
        <w:rPr>
          <w:rFonts w:ascii="Cambria Math" w:eastAsia="Lustria" w:hAnsi="Cambria Math" w:cs="Cambria Math"/>
          <w:sz w:val="24"/>
          <w:szCs w:val="24"/>
        </w:rPr>
        <w:instrText>‑</w:instrText>
      </w:r>
      <w:r w:rsidRPr="00160103">
        <w:rPr>
          <w:rFonts w:ascii="Barlow" w:eastAsia="Lustria" w:hAnsi="Barlow" w:cs="Lustria"/>
          <w:sz w:val="24"/>
          <w:szCs w:val="24"/>
        </w:rPr>
        <w:instrText>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keywords.","author":[{"dropping-particle":"","family":"Makbul","given":"M","non-dropping-particle":"","parse-names":false,"suffix":""}],"id":"ITEM-1","issue":"17","issued":{"date-parts":[["2021"]]},"page":"399-405","title":"Metode Pengumpulan Data dan Instrumen Penelitian","type":"article-journal","volume":"75"},"uris":["http://www.mendeley.com/documents/?uuid=78dfd9aa-2ef9-483d-85f8-602977ca7e03"]}],"mendeley":{"formattedCitation":"(Makbul, 2021)","plainTextFormattedCitation":"(Makbul, 2021)","previouslyFormattedCitation":"(Makbul, 2021)"},"properties":{"noteIndex":0},"schema":"https://github.com/citation-style-language/schema/raw/master/csl-citation.json"}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(Makbul, 2021)</w:t>
      </w:r>
      <w:r w:rsidRPr="00160103">
        <w:rPr>
          <w:rFonts w:ascii="Barlow" w:eastAsia="Lustria" w:hAnsi="Barlow" w:cs="Lustria"/>
          <w:sz w:val="24"/>
          <w:szCs w:val="24"/>
        </w:rPr>
        <w:fldChar w:fldCharType="end"/>
      </w:r>
      <w:r w:rsidRPr="00160103">
        <w:rPr>
          <w:rFonts w:ascii="Barlow" w:eastAsia="Lustria" w:hAnsi="Barlow" w:cs="Lustria"/>
          <w:sz w:val="24"/>
          <w:szCs w:val="24"/>
        </w:rPr>
        <w:t xml:space="preserve">.  </w:t>
      </w:r>
    </w:p>
    <w:p w14:paraId="14255828" w14:textId="77777777" w:rsidR="00B30CD7" w:rsidRPr="00160103" w:rsidRDefault="00B30CD7" w:rsidP="00AB28AB">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This study uses purposive sampling. According to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{"citationItems":[{"id":"ITEM-1","itemData":{"ISSN":"2303-1174","abstract":"Advances in technology are accompanied by the development of today's business world, making Indonesian people's activities easier and having an influence on people's ways and mindsets in everyday life. This is used by many companies by opening an online-based business (E-Commerce). One of the big and original e-commerce made by the nation's children in Indonesia is Tokopedia. This study aims to determine the effect of Brand Image, Promotion and Service Quality on Consumer Purchase Decisions at Tokopedia E-Commerce in Manado City. The research approach that used is a quantitative. In this study the used method is the associative. The technique used in sampling is a non-probability sampling technique which is purposive sampling type. The number of samples taken in this study using the Lameshow formula, this is because the population is unknown or infinite, then a sample of 100 people is obtained. The results showed that simultaneously brand image, promotion and service quality had an effect on consumer purchasing decisions on Tokopedia e-commerce in Manado City. Partially, brand image has no significant effect on purchasing decisions, while promotion and service quality have a positive and significant effect on purchasing decisions. Tokopedia must further improve its brand image, promotion and service quality in order to give better influence on consumer purchasing decisions.","author":[{"dropping-particle":"","family":"Ani","given":"J","non-dropping-particle":"","parse-names":false,"suffix":""},{"dropping-particle":"","family":"Lumanauw","given":"B","non-dropping-particle":"","parse-names":false,"suffix":""},{"dropping-particle":"","family":"Tampenawas","given":"J L A","non-dropping-particle":"","parse-names":false,"suffix":""}],"container-title":"663 Jurnal EMBA","id":"ITEM-1","issue":"2","issued":{"date-parts":[["2021"]]},"page":"663-674","title":"Pengaruh Citra Merek, Promosi Dan Kualitas Layanan Terhadap Keputusan Pembelian Konsumen Pada E-Commerce Tokopedia Di Kota Manado the Influence of Brand Image, Promotion and Service Quality on Consumer Purchase Decisions on Tokopedia E-Commerce in Manado","type":"article-journal","volume":"9"},"uris":["http://www.mendeley.com/documents/?uuid=9e729a3b-f959-4d20-80a1-44f09d86480d"]}],"mendeley":{"formattedCitation":"(Ani et al., 2021)","plainTextFormattedCitation":"(Ani et al., 2021)","previouslyFormattedCitation":"(Ani et al., 2021)"},"properties":{"noteIndex":0},"schema":"https://github.com/citation-style-language/schema/raw/master/csl-citation.json"}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(Ani et al., 2021)</w:t>
      </w:r>
      <w:r w:rsidRPr="00160103">
        <w:rPr>
          <w:rFonts w:ascii="Barlow" w:eastAsia="Lustria" w:hAnsi="Barlow" w:cs="Lustria"/>
          <w:sz w:val="24"/>
          <w:szCs w:val="24"/>
        </w:rPr>
        <w:fldChar w:fldCharType="end"/>
      </w:r>
      <w:r w:rsidRPr="00160103">
        <w:rPr>
          <w:rFonts w:ascii="Barlow" w:eastAsia="Lustria" w:hAnsi="Barlow" w:cs="Lustria"/>
          <w:sz w:val="24"/>
          <w:szCs w:val="24"/>
        </w:rPr>
        <w:t xml:space="preserve"> Purposive sampling is a sampling technique used to take samples from certain aspects, using a sample of 13 Physical Education teachers from 7 elementary schools in Martapura </w:t>
      </w:r>
      <w:r w:rsidRPr="00160103">
        <w:rPr>
          <w:rFonts w:ascii="Barlow" w:eastAsia="Lustria" w:hAnsi="Barlow" w:cs="Lustria"/>
          <w:sz w:val="24"/>
          <w:szCs w:val="24"/>
        </w:rPr>
        <w:lastRenderedPageBreak/>
        <w:t>District, the sample selection criteria are teachers who have had at least one year of inclusion teaching experience and the population consists of 39 elementary schools in Martapura District. A population is a generali</w:t>
      </w:r>
      <w:r w:rsidR="00AB28AB">
        <w:rPr>
          <w:rFonts w:ascii="Barlow" w:eastAsia="Lustria" w:hAnsi="Barlow" w:cs="Lustria"/>
          <w:sz w:val="24"/>
          <w:szCs w:val="24"/>
        </w:rPr>
        <w:t>s</w:t>
      </w:r>
      <w:r w:rsidRPr="00160103">
        <w:rPr>
          <w:rFonts w:ascii="Barlow" w:eastAsia="Lustria" w:hAnsi="Barlow" w:cs="Lustria"/>
          <w:sz w:val="24"/>
          <w:szCs w:val="24"/>
        </w:rPr>
        <w:t xml:space="preserve">ed region that consists of objects or subjects that have certain qualities and characteristics that the researcher chooses to study and then draws conclusions. The researcher must have a good understanding of the sample, both in determining the number of samples and in determining which samples are taken to determine or assign the right sample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{"citationItems":[{"id":"ITEM-1","itemData":{"abstract":"Based on the provided text, it seems that you have shared an abstract or summary of a research paper related to the topics of population, sampling, and key informants. The abstract discusses various aspects such as the definition of population and sample, types of populations, criteria for a good sample, sample size, characteristics of the sample, and the selection of key informants. It mentions that population refers to the entire set of elements that are being studied, including both objects and subjects, with specific characteristics. Populations can be classified based on their size (finite or infinite), homogeneity or heterogeneity, and the purpose of the study (target population or survey population). A sample is defined as a subset of the population that represents the entire population and serves as the actual source of data for research purposes. The abstract mentions two types of sampling techniques: probability sampling and non-probability sampling. Determining the sample size can be done using various methods, including formulas developed by Cochran and Michael, as well as using the Krejcie-Rossi formula. Key informants are individuals who are willing to share their knowledge and insights with the researcher and are often considered valuable sources of information. It is suggested that the collection of data should start with key informants to gain a comprehensive understanding of the observed issue. The abstract also mentions that the selection of the sample in quantitative research should meet certain criteria, while the selection of key informants in qualitative research should consider suitability.","author":[{"dropping-particle":"","family":"Asrulla","given":"","non-dropping-particle":"","parse-names":false,"suffix":""},{"dropping-particle":"","family":"Risnita","given":"","non-dropping-particle":"","parse-names":false,"suffix":""},{"dropping-particle":"","family":"Jailani","given":"M. S","non-dropping-particle":"","parse-names":false,"suffix":""},{"dropping-particle":"","family":"Jeka","given":"Firdaus","non-dropping-particle":"","parse-names":false,"suffix":""}],"container-title":"Jurnal Pendidikan Tambusai","id":"ITEM-1","issue":"3","issued":{"date-parts":[["2023"]]},"page":"26320-26332","title":"Populasi dan Sampling (Kuantitatif), Serta Pemilihan Informan Kunci (Kualitatif) dalam Pendekatan Praktis","type":"article-journal","volume":"7"},"uris":["http://www.mendeley.com/documents/?uuid=cecc34a8-23a4-42d1-a755-2c94b414f4b4"]}],"mendeley":{"formattedCitation":"(Asrulla et al., 2023)","plainTextFormattedCitation":"(Asrulla et al., 2023)","previouslyFormattedCitation":"(Asrulla et al., 2023)"},"properties":{"noteIndex":0},"schema":"https://github.com/citation-style-language/schema/raw/master/csl-citation.json"}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(Asrulla et al., 2023)</w:t>
      </w:r>
      <w:r w:rsidRPr="00160103">
        <w:rPr>
          <w:rFonts w:ascii="Barlow" w:eastAsia="Lustria" w:hAnsi="Barlow" w:cs="Lustria"/>
          <w:sz w:val="24"/>
          <w:szCs w:val="24"/>
        </w:rPr>
        <w:fldChar w:fldCharType="end"/>
      </w:r>
      <w:r w:rsidRPr="00160103">
        <w:rPr>
          <w:rFonts w:ascii="Barlow" w:eastAsia="Lustria" w:hAnsi="Barlow" w:cs="Lustria"/>
          <w:sz w:val="24"/>
          <w:szCs w:val="24"/>
        </w:rPr>
        <w:t xml:space="preserve">.  </w:t>
      </w:r>
    </w:p>
    <w:p w14:paraId="77B3A31C" w14:textId="77777777" w:rsidR="00B30CD7" w:rsidRPr="00160103" w:rsidRDefault="00B30CD7" w:rsidP="00AB28AB">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In the data collection technique, this study used a closed questionnaire with a </w:t>
      </w:r>
      <w:r w:rsidR="00AB28AB">
        <w:rPr>
          <w:rFonts w:ascii="Barlow" w:eastAsia="Lustria" w:hAnsi="Barlow" w:cs="Lustria"/>
          <w:sz w:val="24"/>
          <w:szCs w:val="24"/>
        </w:rPr>
        <w:t>L</w:t>
      </w:r>
      <w:r w:rsidRPr="00160103">
        <w:rPr>
          <w:rFonts w:ascii="Barlow" w:eastAsia="Lustria" w:hAnsi="Barlow" w:cs="Lustria"/>
          <w:sz w:val="24"/>
          <w:szCs w:val="24"/>
        </w:rPr>
        <w:t xml:space="preserve">ikert scale of 4 points from 35 statement indicators with 4 factors. According to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{"citationItems":[{"id":"ITEM-1","itemData":{"ISSN":"2775-7374","abstract":"Stakeholder Meeting for the Development of the Indonesian Exhibition Industry 2020 was held in order to discuss the impact of the global pandemic on the exhibition industry by the Ministry of Tourism and Creative Economy. The registration process is one of the important things for the success of the Stakeholder Meeting for the Development of the Indonesian Exhibition Industry 2020. This research was conducted to prove the effectiveness of the registration process for the Stakeholder Meeting for the Development of the Indonesian Exhibition Industry 2020, especially the exhibition industry. The data processing method used is a Likert scale by distributing questionnaires to respondents and the final result will reveal in description. From the process, the Likert scale shows that it is useful in measuring the effectiveness of registration activities. The implications of this research can be used to evaluate the registration process for other MICE (Meeting, Incentive, Conference and Exhibition) activities.","author":[{"dropping-particle":"","family":"Kurniawati","given":"Desi","non-dropping-particle":"","parse-names":false,"suffix":""},{"dropping-particle":"","family":"Judisseno","given":"Rimsky K","non-dropping-particle":"","parse-names":false,"suffix":""}],"container-title":"Seminar Nasional Riset Terapan Administrasi Bisnis ","id":"ITEM-1","issued":{"date-parts":[["2022"]]},"page":"142-152","title":"Penggunaan Skala Likert Untuk Menganalisa Efektivitas Registrasi Stakeholder Meeting: Exhibition Industry 2020","type":"article-journal"},"uris":["http://www.mendeley.com/documents/?uuid=20f6bba7-f9bc-45e8-aef2-737cce08b19f"]}],"mendeley":{"formattedCitation":"(Kurniawati &amp; Judisseno, 2022)","plainTextFormattedCitation":"(Kurniawati &amp; Judisseno, 2022)","previouslyFormattedCitation":"(Kurniawati &amp; Judisseno, 2022)"},"properties":{"noteIndex":0},"schema":"https://github.com/citation-style-language/schema/raw/master/csl-citation.json"}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(Kurniawati &amp; Judisseno, 2022)</w:t>
      </w:r>
      <w:r w:rsidRPr="00160103">
        <w:rPr>
          <w:rFonts w:ascii="Barlow" w:eastAsia="Lustria" w:hAnsi="Barlow" w:cs="Lustria"/>
          <w:sz w:val="24"/>
          <w:szCs w:val="24"/>
        </w:rPr>
        <w:fldChar w:fldCharType="end"/>
      </w:r>
      <w:r w:rsidR="00AB28AB">
        <w:rPr>
          <w:rFonts w:ascii="Barlow" w:eastAsia="Lustria" w:hAnsi="Barlow" w:cs="Lustria"/>
          <w:sz w:val="24"/>
          <w:szCs w:val="24"/>
        </w:rPr>
        <w:t>,</w:t>
      </w:r>
      <w:r w:rsidRPr="00160103">
        <w:rPr>
          <w:rFonts w:ascii="Barlow" w:eastAsia="Lustria" w:hAnsi="Barlow" w:cs="Lustria"/>
          <w:sz w:val="24"/>
          <w:szCs w:val="24"/>
        </w:rPr>
        <w:t xml:space="preserve"> </w:t>
      </w:r>
      <w:r w:rsidR="00AB28AB">
        <w:rPr>
          <w:rFonts w:ascii="Barlow" w:eastAsia="Lustria" w:hAnsi="Barlow" w:cs="Lustria"/>
          <w:sz w:val="24"/>
          <w:szCs w:val="24"/>
        </w:rPr>
        <w:t>t</w:t>
      </w:r>
      <w:r w:rsidRPr="00160103">
        <w:rPr>
          <w:rFonts w:ascii="Barlow" w:eastAsia="Lustria" w:hAnsi="Barlow" w:cs="Lustria"/>
          <w:sz w:val="24"/>
          <w:szCs w:val="24"/>
        </w:rPr>
        <w:t>he Likert scale is proven to be able to assess the effectiveness of the registration stages carried out in more detail and accurately. The data obtained from the questionnaire w</w:t>
      </w:r>
      <w:r w:rsidR="00AB28AB">
        <w:rPr>
          <w:rFonts w:ascii="Barlow" w:eastAsia="Lustria" w:hAnsi="Barlow" w:cs="Lustria"/>
          <w:sz w:val="24"/>
          <w:szCs w:val="24"/>
        </w:rPr>
        <w:t>ere</w:t>
      </w:r>
      <w:r w:rsidRPr="00160103">
        <w:rPr>
          <w:rFonts w:ascii="Barlow" w:eastAsia="Lustria" w:hAnsi="Barlow" w:cs="Lustria"/>
          <w:sz w:val="24"/>
          <w:szCs w:val="24"/>
        </w:rPr>
        <w:t xml:space="preserve"> analy</w:t>
      </w:r>
      <w:r w:rsidR="00AB28AB">
        <w:rPr>
          <w:rFonts w:ascii="Barlow" w:eastAsia="Lustria" w:hAnsi="Barlow" w:cs="Lustria"/>
          <w:sz w:val="24"/>
          <w:szCs w:val="24"/>
        </w:rPr>
        <w:t>s</w:t>
      </w:r>
      <w:r w:rsidRPr="00160103">
        <w:rPr>
          <w:rFonts w:ascii="Barlow" w:eastAsia="Lustria" w:hAnsi="Barlow" w:cs="Lustria"/>
          <w:sz w:val="24"/>
          <w:szCs w:val="24"/>
        </w:rPr>
        <w:t>ed quantitatively using descriptive statistics.  In the process of data analysis, categori</w:t>
      </w:r>
      <w:r w:rsidR="00AB28AB">
        <w:rPr>
          <w:rFonts w:ascii="Barlow" w:eastAsia="Lustria" w:hAnsi="Barlow" w:cs="Lustria"/>
          <w:sz w:val="24"/>
          <w:szCs w:val="24"/>
        </w:rPr>
        <w:t>s</w:t>
      </w:r>
      <w:r w:rsidRPr="00160103">
        <w:rPr>
          <w:rFonts w:ascii="Barlow" w:eastAsia="Lustria" w:hAnsi="Barlow" w:cs="Lustria"/>
          <w:sz w:val="24"/>
          <w:szCs w:val="24"/>
        </w:rPr>
        <w:t xml:space="preserve">ation is carried out. The category uses </w:t>
      </w:r>
      <w:r w:rsidR="00AB28AB">
        <w:rPr>
          <w:rFonts w:ascii="Barlow" w:eastAsia="Lustria" w:hAnsi="Barlow" w:cs="Lustria"/>
          <w:sz w:val="24"/>
          <w:szCs w:val="24"/>
        </w:rPr>
        <w:t xml:space="preserve">the </w:t>
      </w:r>
      <w:r w:rsidRPr="00160103">
        <w:rPr>
          <w:rFonts w:ascii="Barlow" w:eastAsia="Lustria" w:hAnsi="Barlow" w:cs="Lustria"/>
          <w:sz w:val="24"/>
          <w:szCs w:val="24"/>
        </w:rPr>
        <w:t xml:space="preserve">Mean (average). </w:t>
      </w:r>
    </w:p>
    <w:p w14:paraId="41856C4C" w14:textId="77777777" w:rsidR="00B30CD7" w:rsidRPr="00160103" w:rsidRDefault="00B30CD7" w:rsidP="00160103">
      <w:pPr>
        <w:widowControl w:val="0"/>
        <w:spacing w:after="0"/>
        <w:ind w:firstLine="720"/>
        <w:jc w:val="both"/>
        <w:rPr>
          <w:rFonts w:ascii="Barlow" w:eastAsia="Lustria" w:hAnsi="Barlow" w:cs="Lustria"/>
          <w:sz w:val="24"/>
          <w:szCs w:val="24"/>
        </w:rPr>
      </w:pPr>
      <w:r w:rsidRPr="00160103">
        <w:rPr>
          <w:rFonts w:ascii="Barlow" w:eastAsia="Lustria" w:hAnsi="Barlow" w:cs="Lustria"/>
          <w:sz w:val="24"/>
          <w:szCs w:val="24"/>
        </w:rPr>
        <w:t xml:space="preserve">According to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{"citationItems":[{"id":"ITEM-1","itemData":{"ISBN":"9788578110796","ISSN":"2502-1850","PMID":"25246403","abstract":"In the world of education assesment is very closely related to the term evaluation or often called evaluation study. To obtain an accurate and meaningful evaluation it takes good and true interpretation. In an effort to interpret the data measurement results required an evaluation standard, there are two types of approaches in value-processing techniques, namely the benchmark reference approach (PAP) and the normative reference approach (PAN). A PAP is an assessment that is subject to the instrusional objectives that the student must master, that the value to be given to the student is based on absolute standards or predefined criteria. While PAN is an assessment that interprets the measurement results by comparing students ' learning outcomes with the learning outcomes of other students in the group, so that the position of the student in the group can be recognized. Both techniques have their own formula in the processing of values","author":[{"dropping-particle":"","family":"Sriyanto","given":"Agus","non-dropping-particle":"","parse-names":false,"suffix":""}],"container-title":"Jurnal Al-Lubab","id":"ITEM-1","issue":"2","issued":{"date-parts":[["2019"]]},"page":"242-258","title":"Teknik Pengolahan Hasil Penentuan Standar Asesmen, Teknik Pengolahan dengan Menggunakan Pendekatan Acuan Patokan (PAP) dan Acuan Norma (PAN)","type":"article-journal","volume":"5"},"uris":["http://www.mendeley.com/documents/?uuid=9f8631f7-1d2d-4477-9216-408c8eafb060"]}],"mendeley":{"formattedCitation":"(Sriyanto, 2019)","plainTextFormattedCitation":"(Sriyanto, 2019)","previouslyFormattedCitation":"(Sriyanto, 2019)"},"properties":{"noteIndex":0},"schema":"https://github.com/citation-style-language/schema/raw/master/csl-citation.json"}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(Sriyanto, 2019)</w:t>
      </w:r>
      <w:r w:rsidRPr="00160103">
        <w:rPr>
          <w:rFonts w:ascii="Barlow" w:eastAsia="Lustria" w:hAnsi="Barlow" w:cs="Lustria"/>
          <w:sz w:val="24"/>
          <w:szCs w:val="24"/>
        </w:rPr>
        <w:fldChar w:fldCharType="end"/>
      </w:r>
      <w:r w:rsidR="00AB28AB">
        <w:rPr>
          <w:rFonts w:ascii="Barlow" w:eastAsia="Lustria" w:hAnsi="Barlow" w:cs="Lustria"/>
          <w:sz w:val="24"/>
          <w:szCs w:val="24"/>
        </w:rPr>
        <w:t>,</w:t>
      </w:r>
      <w:r w:rsidRPr="00160103">
        <w:rPr>
          <w:rFonts w:ascii="Barlow" w:eastAsia="Lustria" w:hAnsi="Barlow" w:cs="Lustria"/>
          <w:sz w:val="24"/>
          <w:szCs w:val="24"/>
        </w:rPr>
        <w:t xml:space="preserve"> </w:t>
      </w:r>
      <w:r w:rsidR="00AB28AB">
        <w:rPr>
          <w:rFonts w:ascii="Barlow" w:eastAsia="Lustria" w:hAnsi="Barlow" w:cs="Lustria"/>
          <w:sz w:val="24"/>
          <w:szCs w:val="24"/>
        </w:rPr>
        <w:t>t</w:t>
      </w:r>
      <w:r w:rsidRPr="00160103">
        <w:rPr>
          <w:rFonts w:ascii="Barlow" w:eastAsia="Lustria" w:hAnsi="Barlow" w:cs="Lustria"/>
          <w:sz w:val="24"/>
          <w:szCs w:val="24"/>
        </w:rPr>
        <w:t>he approach that is commonly used in processing raw scores into values with absolute standards is called the norm</w:t>
      </w:r>
      <w:r w:rsidR="00AB28AB">
        <w:rPr>
          <w:rFonts w:ascii="Barlow" w:eastAsia="Lustria" w:hAnsi="Barlow" w:cs="Lustria"/>
          <w:sz w:val="24"/>
          <w:szCs w:val="24"/>
        </w:rPr>
        <w:t>-referenced</w:t>
      </w:r>
      <w:r w:rsidRPr="00160103">
        <w:rPr>
          <w:rFonts w:ascii="Barlow" w:eastAsia="Lustria" w:hAnsi="Barlow" w:cs="Lustria"/>
          <w:sz w:val="24"/>
          <w:szCs w:val="24"/>
        </w:rPr>
        <w:t xml:space="preserve"> assessment (PA) in the scale. Furthermore, the meaning can be carried out as a discussion of the problems proposed in the form of percentages.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gambar","author":[{"dropping-particle":"","family":"Sugiyono","given":"","non-dropping-particle":"","parse-names":false,"suffix":""}],"id":"ITEM-1","issued":{"date-parts":[["2017"]]},"title":"Metodologi Penelitian Kuantitatif, Kualitatif dan R &amp; D","type":"book"},"uris":["http://www.mendeley.com/documents/?uuid=6f1ba022-9fe1-4dd0-af3a-2381ee0f4bc8"]}],"mendeley":{"formattedCitation":"(Sugiyono, 2017)","manualFormatting":"(Scott, 2017)","plainTextFormattedCitation":"(Sugiyono, 2017)","previouslyFormattedCitation":"(Sugiyono, 2017)"},"properties":{"noteIndex":0},"schema":"https://github.com/citation-style-language/schema/raw/master/csl-citation.json"}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(Scott, 2017)</w:t>
      </w:r>
      <w:r w:rsidRPr="00160103">
        <w:rPr>
          <w:rFonts w:ascii="Barlow" w:eastAsia="Lustria" w:hAnsi="Barlow" w:cs="Lustria"/>
          <w:sz w:val="24"/>
          <w:szCs w:val="24"/>
        </w:rPr>
        <w:fldChar w:fldCharType="end"/>
      </w:r>
      <w:r w:rsidRPr="00160103">
        <w:rPr>
          <w:rFonts w:ascii="Barlow" w:eastAsia="Lustria" w:hAnsi="Barlow" w:cs="Lustria"/>
          <w:sz w:val="24"/>
          <w:szCs w:val="24"/>
        </w:rPr>
        <w:t xml:space="preserve"> The formula to find out the relative frequency (percentage) is as follows:</w:t>
      </w:r>
    </w:p>
    <w:p w14:paraId="369874A7" w14:textId="77777777" w:rsidR="00B30CD7" w:rsidRPr="00160103" w:rsidRDefault="00B30CD7" w:rsidP="00160103">
      <w:pPr>
        <w:widowControl w:val="0"/>
        <w:spacing w:after="0"/>
        <w:ind w:firstLine="720"/>
        <w:jc w:val="both"/>
        <w:rPr>
          <w:rFonts w:ascii="Barlow" w:eastAsia="Lustria" w:hAnsi="Barlow" w:cs="Lustria"/>
          <w:sz w:val="24"/>
          <w:szCs w:val="24"/>
        </w:rPr>
      </w:pPr>
      <m:oMathPara>
        <m:oMath>
          <m:r>
            <w:rPr>
              <w:rFonts w:ascii="Cambria Math" w:eastAsia="Lustria" w:hAnsi="Cambria Math" w:cs="Lustria"/>
              <w:sz w:val="24"/>
              <w:szCs w:val="24"/>
            </w:rPr>
            <m:t>P=</m:t>
          </m:r>
          <m:f>
            <m:fPr>
              <m:ctrlPr>
                <w:rPr>
                  <w:rFonts w:ascii="Cambria Math" w:eastAsia="Lustria" w:hAnsi="Cambria Math" w:cs="Lustria"/>
                  <w:i/>
                  <w:sz w:val="24"/>
                  <w:szCs w:val="24"/>
                </w:rPr>
              </m:ctrlPr>
            </m:fPr>
            <m:num>
              <m:r>
                <w:rPr>
                  <w:rFonts w:ascii="Cambria Math" w:eastAsia="Lustria" w:hAnsi="Cambria Math" w:cs="Lustria"/>
                  <w:sz w:val="24"/>
                  <w:szCs w:val="24"/>
                </w:rPr>
                <m:t>F</m:t>
              </m:r>
            </m:num>
            <m:den>
              <m:r>
                <w:rPr>
                  <w:rFonts w:ascii="Cambria Math" w:eastAsia="Lustria" w:hAnsi="Cambria Math" w:cs="Lustria"/>
                  <w:sz w:val="24"/>
                  <w:szCs w:val="24"/>
                </w:rPr>
                <m:t>N</m:t>
              </m:r>
            </m:den>
          </m:f>
          <m:r>
            <w:rPr>
              <w:rFonts w:ascii="Cambria Math" w:eastAsia="Lustria" w:hAnsi="Cambria Math" w:cs="Lustria"/>
              <w:sz w:val="24"/>
              <w:szCs w:val="24"/>
            </w:rPr>
            <m:t>x100%</m:t>
          </m:r>
        </m:oMath>
      </m:oMathPara>
    </w:p>
    <w:p w14:paraId="11C00ABB" w14:textId="77777777" w:rsidR="0052620C" w:rsidRPr="00160103" w:rsidRDefault="0052620C" w:rsidP="00AB28AB">
      <w:pPr>
        <w:spacing w:after="0" w:line="240" w:lineRule="auto"/>
        <w:ind w:firstLine="567"/>
        <w:jc w:val="both"/>
        <w:rPr>
          <w:rFonts w:ascii="Barlow" w:hAnsi="Barlow" w:cs="Tahoma"/>
          <w:sz w:val="24"/>
          <w:szCs w:val="28"/>
          <w:lang w:val="en-US"/>
        </w:rPr>
      </w:pPr>
    </w:p>
    <w:p w14:paraId="0F68562B" w14:textId="77777777" w:rsidR="0052620C" w:rsidRPr="00160103" w:rsidRDefault="0052620C" w:rsidP="00AB28AB">
      <w:pPr>
        <w:spacing w:after="0" w:line="240" w:lineRule="auto"/>
        <w:ind w:firstLine="567"/>
        <w:jc w:val="both"/>
        <w:rPr>
          <w:rFonts w:ascii="Barlow" w:hAnsi="Barlow" w:cs="Tahoma"/>
          <w:sz w:val="24"/>
          <w:szCs w:val="28"/>
          <w:lang w:val="en-US"/>
        </w:rPr>
      </w:pPr>
    </w:p>
    <w:p w14:paraId="30BE65DF" w14:textId="77777777" w:rsidR="00111933" w:rsidRPr="00160103" w:rsidRDefault="00111933" w:rsidP="00D81206">
      <w:pPr>
        <w:autoSpaceDE w:val="0"/>
        <w:autoSpaceDN w:val="0"/>
        <w:adjustRightInd w:val="0"/>
        <w:spacing w:after="0"/>
        <w:jc w:val="both"/>
        <w:rPr>
          <w:rFonts w:ascii="Barlow" w:hAnsi="Barlow" w:cs="Tahoma"/>
          <w:b/>
          <w:sz w:val="26"/>
          <w:szCs w:val="30"/>
          <w:lang w:val="en-US"/>
        </w:rPr>
      </w:pPr>
      <w:r w:rsidRPr="00160103">
        <w:rPr>
          <w:rFonts w:ascii="Barlow" w:hAnsi="Barlow" w:cs="Tahoma"/>
          <w:b/>
          <w:sz w:val="26"/>
          <w:szCs w:val="30"/>
          <w:lang w:val="en-US"/>
        </w:rPr>
        <w:t xml:space="preserve">RESULTS AND </w:t>
      </w:r>
      <w:r w:rsidRPr="00160103">
        <w:rPr>
          <w:rFonts w:ascii="Barlow" w:hAnsi="Barlow" w:cs="Tahoma"/>
          <w:b/>
          <w:sz w:val="26"/>
          <w:szCs w:val="30"/>
        </w:rPr>
        <w:t xml:space="preserve">DISCUSSION </w:t>
      </w:r>
    </w:p>
    <w:p w14:paraId="1356E2F9" w14:textId="77777777" w:rsidR="00111933" w:rsidRPr="00160103" w:rsidRDefault="00BE7703" w:rsidP="00BE7703">
      <w:pPr>
        <w:autoSpaceDE w:val="0"/>
        <w:autoSpaceDN w:val="0"/>
        <w:adjustRightInd w:val="0"/>
        <w:spacing w:after="0"/>
        <w:jc w:val="both"/>
        <w:rPr>
          <w:rFonts w:ascii="Barlow" w:hAnsi="Barlow" w:cs="Tahoma"/>
          <w:b/>
          <w:sz w:val="24"/>
          <w:szCs w:val="28"/>
          <w:lang w:val="en-US"/>
        </w:rPr>
      </w:pPr>
      <w:r w:rsidRPr="00160103">
        <w:rPr>
          <w:rFonts w:ascii="Barlow" w:hAnsi="Barlow" w:cs="Tahoma"/>
          <w:b/>
          <w:sz w:val="24"/>
          <w:szCs w:val="28"/>
          <w:lang w:val="en-US"/>
        </w:rPr>
        <w:t>Result</w:t>
      </w:r>
    </w:p>
    <w:p w14:paraId="074E1E76" w14:textId="77777777" w:rsidR="00B30CD7" w:rsidRPr="00160103" w:rsidRDefault="00B30CD7" w:rsidP="00160103">
      <w:pPr>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The results of this study show how Physical Education teachers' perception of inclusive learning </w:t>
      </w:r>
      <w:r w:rsidR="00AB28AB">
        <w:rPr>
          <w:rFonts w:ascii="Barlow" w:eastAsia="Lustria" w:hAnsi="Barlow" w:cs="Lustria"/>
          <w:sz w:val="24"/>
          <w:szCs w:val="24"/>
        </w:rPr>
        <w:t xml:space="preserve">is </w:t>
      </w:r>
      <w:r w:rsidRPr="00160103">
        <w:rPr>
          <w:rFonts w:ascii="Barlow" w:eastAsia="Lustria" w:hAnsi="Barlow" w:cs="Lustria"/>
          <w:sz w:val="24"/>
          <w:szCs w:val="24"/>
        </w:rPr>
        <w:t xml:space="preserve">in Martapura District Elementary Schools. The number of statement indicators in the questionnaire consists of 4 factors, namely: the factor of understanding the concept of inclusion 5 items of statement, the factor of readiness and ability of Physical Education teachers 11 items of statements, factors of obstacles and challenges in the implementation of 2 items of statements and support of school principals and school policies 17 items of statements. </w:t>
      </w:r>
    </w:p>
    <w:p w14:paraId="5AF34A97" w14:textId="77777777" w:rsidR="00B30CD7" w:rsidRPr="00160103" w:rsidRDefault="00B30CD7" w:rsidP="00160103">
      <w:pPr>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The distribution table of Physical Education teachers' perceptions of inclusive learning at Martapura District Elementary School is shown in the following table: </w:t>
      </w:r>
    </w:p>
    <w:p w14:paraId="428165C3" w14:textId="77777777" w:rsidR="00B30CD7" w:rsidRPr="00160103" w:rsidRDefault="00B30CD7" w:rsidP="00160103">
      <w:pPr>
        <w:spacing w:after="0" w:line="240" w:lineRule="auto"/>
        <w:jc w:val="center"/>
        <w:rPr>
          <w:rFonts w:ascii="Barlow" w:eastAsia="Lustria" w:hAnsi="Barlow" w:cs="Lustria"/>
          <w:sz w:val="24"/>
          <w:szCs w:val="24"/>
        </w:rPr>
      </w:pPr>
      <w:r w:rsidRPr="00160103">
        <w:rPr>
          <w:rFonts w:ascii="Barlow" w:eastAsia="Lustria" w:hAnsi="Barlow" w:cs="Lustria"/>
          <w:b/>
          <w:sz w:val="24"/>
          <w:szCs w:val="24"/>
        </w:rPr>
        <w:t>Table 1.</w:t>
      </w:r>
    </w:p>
    <w:p w14:paraId="7929BAAF" w14:textId="77777777" w:rsidR="00B30CD7" w:rsidRPr="00160103" w:rsidRDefault="00B30CD7" w:rsidP="00160103">
      <w:pPr>
        <w:spacing w:after="0" w:line="240" w:lineRule="auto"/>
        <w:jc w:val="center"/>
        <w:rPr>
          <w:rFonts w:ascii="Barlow" w:eastAsia="Lustria" w:hAnsi="Barlow" w:cs="Lustria"/>
          <w:sz w:val="24"/>
          <w:szCs w:val="24"/>
        </w:rPr>
      </w:pPr>
      <w:bookmarkStart w:id="2" w:name="_Hlk199851832"/>
      <w:r w:rsidRPr="00160103">
        <w:rPr>
          <w:rFonts w:ascii="Barlow" w:eastAsia="Lustria" w:hAnsi="Barlow" w:cs="Lustria"/>
          <w:sz w:val="24"/>
          <w:szCs w:val="24"/>
        </w:rPr>
        <w:t xml:space="preserve">Results of Physical Education Teachers' Perception of Inclusive Learning in </w:t>
      </w:r>
      <w:r w:rsidRPr="00160103">
        <w:rPr>
          <w:rFonts w:ascii="Barlow" w:eastAsia="Lustria" w:hAnsi="Barlow" w:cs="Lustria"/>
          <w:iCs/>
          <w:sz w:val="24"/>
          <w:szCs w:val="24"/>
        </w:rPr>
        <w:t>Martapura District Elementary School</w:t>
      </w:r>
    </w:p>
    <w:tbl>
      <w:tblPr>
        <w:tblStyle w:val="TableGrid"/>
        <w:tblW w:w="9075"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60"/>
        <w:gridCol w:w="1527"/>
        <w:gridCol w:w="2147"/>
        <w:gridCol w:w="2090"/>
        <w:gridCol w:w="1751"/>
      </w:tblGrid>
      <w:tr w:rsidR="00B30CD7" w:rsidRPr="00160103" w14:paraId="1E89ECA8" w14:textId="77777777" w:rsidTr="00160103">
        <w:tc>
          <w:tcPr>
            <w:tcW w:w="1560" w:type="dxa"/>
            <w:shd w:val="clear" w:color="auto" w:fill="FABF8F" w:themeFill="accent6" w:themeFillTint="99"/>
            <w:vAlign w:val="center"/>
          </w:tcPr>
          <w:bookmarkEnd w:id="2"/>
          <w:p w14:paraId="50EBCB67" w14:textId="77777777" w:rsidR="00B30CD7" w:rsidRPr="00AB28AB" w:rsidRDefault="00B30CD7" w:rsidP="00160103">
            <w:pPr>
              <w:tabs>
                <w:tab w:val="left" w:pos="1134"/>
              </w:tabs>
              <w:jc w:val="center"/>
              <w:rPr>
                <w:rFonts w:ascii="Barlow" w:eastAsia="Lustria" w:hAnsi="Barlow" w:cs="Lustria"/>
                <w:b/>
                <w:bCs/>
                <w:sz w:val="18"/>
                <w:szCs w:val="18"/>
                <w:lang w:val="en-US"/>
              </w:rPr>
            </w:pPr>
            <w:r w:rsidRPr="00AB28AB">
              <w:rPr>
                <w:rFonts w:ascii="Barlow" w:eastAsia="Lustria" w:hAnsi="Barlow" w:cs="Lustria"/>
                <w:b/>
                <w:bCs/>
                <w:sz w:val="18"/>
                <w:szCs w:val="18"/>
                <w:lang w:val="en-US"/>
              </w:rPr>
              <w:t>Category</w:t>
            </w:r>
          </w:p>
        </w:tc>
        <w:tc>
          <w:tcPr>
            <w:tcW w:w="1527" w:type="dxa"/>
            <w:shd w:val="clear" w:color="auto" w:fill="FABF8F" w:themeFill="accent6" w:themeFillTint="99"/>
            <w:vAlign w:val="center"/>
          </w:tcPr>
          <w:p w14:paraId="00E703C4" w14:textId="77777777" w:rsidR="00B30CD7" w:rsidRPr="00AB28AB" w:rsidRDefault="00B30CD7" w:rsidP="00160103">
            <w:pPr>
              <w:tabs>
                <w:tab w:val="left" w:pos="1134"/>
              </w:tabs>
              <w:jc w:val="center"/>
              <w:rPr>
                <w:rFonts w:ascii="Barlow" w:eastAsia="Lustria" w:hAnsi="Barlow" w:cs="Lustria"/>
                <w:b/>
                <w:bCs/>
                <w:sz w:val="18"/>
                <w:szCs w:val="18"/>
              </w:rPr>
            </w:pPr>
            <w:bookmarkStart w:id="3" w:name="_Hlk198845845"/>
            <w:r w:rsidRPr="00AB28AB">
              <w:rPr>
                <w:rFonts w:ascii="Barlow" w:eastAsia="Lustria" w:hAnsi="Barlow" w:cs="Lustria"/>
                <w:b/>
                <w:bCs/>
                <w:sz w:val="18"/>
                <w:szCs w:val="18"/>
              </w:rPr>
              <w:t>Understanding the Concept of Inclusion</w:t>
            </w:r>
          </w:p>
        </w:tc>
        <w:tc>
          <w:tcPr>
            <w:tcW w:w="2147" w:type="dxa"/>
            <w:shd w:val="clear" w:color="auto" w:fill="FABF8F" w:themeFill="accent6" w:themeFillTint="99"/>
            <w:vAlign w:val="center"/>
          </w:tcPr>
          <w:p w14:paraId="39882569" w14:textId="77777777" w:rsidR="00B30CD7" w:rsidRPr="00AB28AB" w:rsidRDefault="00B30CD7" w:rsidP="00160103">
            <w:pPr>
              <w:tabs>
                <w:tab w:val="left" w:pos="1134"/>
              </w:tabs>
              <w:jc w:val="center"/>
              <w:rPr>
                <w:rFonts w:ascii="Barlow" w:eastAsia="Lustria" w:hAnsi="Barlow" w:cs="Lustria"/>
                <w:b/>
                <w:bCs/>
                <w:sz w:val="18"/>
                <w:szCs w:val="18"/>
              </w:rPr>
            </w:pPr>
            <w:r w:rsidRPr="00AB28AB">
              <w:rPr>
                <w:rFonts w:ascii="Barlow" w:eastAsia="Lustria" w:hAnsi="Barlow" w:cs="Lustria"/>
                <w:b/>
                <w:bCs/>
                <w:sz w:val="18"/>
                <w:szCs w:val="18"/>
              </w:rPr>
              <w:t>Results of Readiness and Ability of Physical Education Teachers</w:t>
            </w:r>
          </w:p>
        </w:tc>
        <w:tc>
          <w:tcPr>
            <w:tcW w:w="2090" w:type="dxa"/>
            <w:shd w:val="clear" w:color="auto" w:fill="FABF8F" w:themeFill="accent6" w:themeFillTint="99"/>
            <w:vAlign w:val="center"/>
          </w:tcPr>
          <w:p w14:paraId="370FF142" w14:textId="77777777" w:rsidR="00B30CD7" w:rsidRPr="00AB28AB" w:rsidRDefault="00B30CD7" w:rsidP="00160103">
            <w:pPr>
              <w:tabs>
                <w:tab w:val="left" w:pos="1134"/>
              </w:tabs>
              <w:jc w:val="center"/>
              <w:rPr>
                <w:rFonts w:ascii="Barlow" w:eastAsia="Lustria" w:hAnsi="Barlow" w:cs="Lustria"/>
                <w:b/>
                <w:bCs/>
                <w:sz w:val="18"/>
                <w:szCs w:val="18"/>
              </w:rPr>
            </w:pPr>
            <w:r w:rsidRPr="00AB28AB">
              <w:rPr>
                <w:rFonts w:ascii="Barlow" w:eastAsia="Lustria" w:hAnsi="Barlow" w:cs="Lustria"/>
                <w:b/>
                <w:bCs/>
                <w:sz w:val="18"/>
                <w:szCs w:val="18"/>
              </w:rPr>
              <w:t>Outcomes, Constraints and Challenges of Inclusive Learning</w:t>
            </w:r>
          </w:p>
        </w:tc>
        <w:tc>
          <w:tcPr>
            <w:tcW w:w="1751" w:type="dxa"/>
            <w:shd w:val="clear" w:color="auto" w:fill="FABF8F" w:themeFill="accent6" w:themeFillTint="99"/>
            <w:vAlign w:val="center"/>
          </w:tcPr>
          <w:p w14:paraId="79A7342F" w14:textId="77777777" w:rsidR="00B30CD7" w:rsidRPr="00AB28AB" w:rsidRDefault="00B30CD7" w:rsidP="00160103">
            <w:pPr>
              <w:tabs>
                <w:tab w:val="left" w:pos="1134"/>
              </w:tabs>
              <w:jc w:val="center"/>
              <w:rPr>
                <w:rFonts w:ascii="Barlow" w:eastAsia="Lustria" w:hAnsi="Barlow" w:cs="Lustria"/>
                <w:b/>
                <w:bCs/>
                <w:sz w:val="18"/>
                <w:szCs w:val="18"/>
              </w:rPr>
            </w:pPr>
            <w:r w:rsidRPr="00AB28AB">
              <w:rPr>
                <w:rFonts w:ascii="Barlow" w:eastAsia="Lustria" w:hAnsi="Barlow" w:cs="Lustria"/>
                <w:b/>
                <w:bCs/>
                <w:sz w:val="18"/>
                <w:szCs w:val="18"/>
              </w:rPr>
              <w:t>Principal Support and School Policy</w:t>
            </w:r>
          </w:p>
        </w:tc>
      </w:tr>
      <w:tr w:rsidR="00B30CD7" w:rsidRPr="00160103" w14:paraId="38083AAA" w14:textId="77777777" w:rsidTr="00160103">
        <w:tc>
          <w:tcPr>
            <w:tcW w:w="1560" w:type="dxa"/>
            <w:tcBorders>
              <w:bottom w:val="nil"/>
            </w:tcBorders>
          </w:tcPr>
          <w:p w14:paraId="2C48ACFE"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 xml:space="preserve">Very </w:t>
            </w:r>
            <w:r w:rsidRPr="00AB28AB">
              <w:rPr>
                <w:rFonts w:ascii="Barlow" w:eastAsia="Lustria" w:hAnsi="Barlow" w:cs="Lustria"/>
                <w:sz w:val="18"/>
                <w:szCs w:val="18"/>
                <w:lang w:val="en-US"/>
              </w:rPr>
              <w:t>H</w:t>
            </w:r>
            <w:r w:rsidRPr="00AB28AB">
              <w:rPr>
                <w:rFonts w:ascii="Barlow" w:eastAsia="Lustria" w:hAnsi="Barlow" w:cs="Lustria"/>
                <w:sz w:val="18"/>
                <w:szCs w:val="18"/>
              </w:rPr>
              <w:t>igh</w:t>
            </w:r>
          </w:p>
        </w:tc>
        <w:tc>
          <w:tcPr>
            <w:tcW w:w="1527" w:type="dxa"/>
            <w:tcBorders>
              <w:bottom w:val="nil"/>
            </w:tcBorders>
            <w:vAlign w:val="center"/>
          </w:tcPr>
          <w:p w14:paraId="7B215C72"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23%</w:t>
            </w:r>
          </w:p>
        </w:tc>
        <w:tc>
          <w:tcPr>
            <w:tcW w:w="2147" w:type="dxa"/>
            <w:tcBorders>
              <w:bottom w:val="nil"/>
            </w:tcBorders>
            <w:vAlign w:val="center"/>
          </w:tcPr>
          <w:p w14:paraId="49E468E4"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23%</w:t>
            </w:r>
          </w:p>
        </w:tc>
        <w:tc>
          <w:tcPr>
            <w:tcW w:w="2090" w:type="dxa"/>
            <w:tcBorders>
              <w:bottom w:val="nil"/>
            </w:tcBorders>
            <w:vAlign w:val="center"/>
          </w:tcPr>
          <w:p w14:paraId="5A98C6D2"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8%</w:t>
            </w:r>
          </w:p>
        </w:tc>
        <w:tc>
          <w:tcPr>
            <w:tcW w:w="1751" w:type="dxa"/>
            <w:tcBorders>
              <w:bottom w:val="nil"/>
            </w:tcBorders>
            <w:vAlign w:val="center"/>
          </w:tcPr>
          <w:p w14:paraId="321057E2"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46%</w:t>
            </w:r>
          </w:p>
        </w:tc>
      </w:tr>
      <w:tr w:rsidR="00B30CD7" w:rsidRPr="00160103" w14:paraId="44FB9F9B" w14:textId="77777777" w:rsidTr="00160103">
        <w:tc>
          <w:tcPr>
            <w:tcW w:w="1560" w:type="dxa"/>
            <w:tcBorders>
              <w:top w:val="nil"/>
              <w:bottom w:val="nil"/>
            </w:tcBorders>
          </w:tcPr>
          <w:p w14:paraId="2EBF6320"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Tall</w:t>
            </w:r>
          </w:p>
        </w:tc>
        <w:tc>
          <w:tcPr>
            <w:tcW w:w="1527" w:type="dxa"/>
            <w:tcBorders>
              <w:top w:val="nil"/>
              <w:bottom w:val="nil"/>
            </w:tcBorders>
            <w:vAlign w:val="center"/>
          </w:tcPr>
          <w:p w14:paraId="7F4A9485"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23%</w:t>
            </w:r>
          </w:p>
        </w:tc>
        <w:tc>
          <w:tcPr>
            <w:tcW w:w="2147" w:type="dxa"/>
            <w:tcBorders>
              <w:top w:val="nil"/>
              <w:bottom w:val="nil"/>
            </w:tcBorders>
            <w:vAlign w:val="center"/>
          </w:tcPr>
          <w:p w14:paraId="6B30A09C"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23%</w:t>
            </w:r>
          </w:p>
        </w:tc>
        <w:tc>
          <w:tcPr>
            <w:tcW w:w="2090" w:type="dxa"/>
            <w:tcBorders>
              <w:top w:val="nil"/>
              <w:bottom w:val="nil"/>
            </w:tcBorders>
            <w:vAlign w:val="center"/>
          </w:tcPr>
          <w:p w14:paraId="438E68E6"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77%</w:t>
            </w:r>
          </w:p>
        </w:tc>
        <w:tc>
          <w:tcPr>
            <w:tcW w:w="1751" w:type="dxa"/>
            <w:tcBorders>
              <w:top w:val="nil"/>
              <w:bottom w:val="nil"/>
            </w:tcBorders>
            <w:vAlign w:val="center"/>
          </w:tcPr>
          <w:p w14:paraId="495B0C81"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15%</w:t>
            </w:r>
          </w:p>
        </w:tc>
      </w:tr>
      <w:tr w:rsidR="00B30CD7" w:rsidRPr="00160103" w14:paraId="6C373EFD" w14:textId="77777777" w:rsidTr="00160103">
        <w:tc>
          <w:tcPr>
            <w:tcW w:w="1560" w:type="dxa"/>
            <w:tcBorders>
              <w:top w:val="nil"/>
              <w:bottom w:val="nil"/>
            </w:tcBorders>
          </w:tcPr>
          <w:p w14:paraId="0426E8FC" w14:textId="77777777" w:rsidR="00B30CD7" w:rsidRPr="00AB28AB" w:rsidRDefault="00B30CD7" w:rsidP="00160103">
            <w:pPr>
              <w:jc w:val="center"/>
              <w:rPr>
                <w:rFonts w:ascii="Barlow" w:eastAsia="Lustria" w:hAnsi="Barlow" w:cs="Lustria"/>
                <w:sz w:val="18"/>
                <w:szCs w:val="18"/>
              </w:rPr>
            </w:pPr>
            <w:r w:rsidRPr="00AB28AB">
              <w:rPr>
                <w:rFonts w:ascii="Barlow" w:eastAsia="Lustria" w:hAnsi="Barlow" w:cs="Lustria"/>
                <w:sz w:val="18"/>
                <w:szCs w:val="18"/>
              </w:rPr>
              <w:t>Low</w:t>
            </w:r>
          </w:p>
        </w:tc>
        <w:tc>
          <w:tcPr>
            <w:tcW w:w="1527" w:type="dxa"/>
            <w:tcBorders>
              <w:top w:val="nil"/>
              <w:bottom w:val="nil"/>
            </w:tcBorders>
            <w:vAlign w:val="center"/>
          </w:tcPr>
          <w:p w14:paraId="63C4BFB2"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15%</w:t>
            </w:r>
          </w:p>
        </w:tc>
        <w:tc>
          <w:tcPr>
            <w:tcW w:w="2147" w:type="dxa"/>
            <w:tcBorders>
              <w:top w:val="nil"/>
              <w:bottom w:val="nil"/>
            </w:tcBorders>
            <w:vAlign w:val="center"/>
          </w:tcPr>
          <w:p w14:paraId="0DFAF9B1"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38%</w:t>
            </w:r>
          </w:p>
        </w:tc>
        <w:tc>
          <w:tcPr>
            <w:tcW w:w="2090" w:type="dxa"/>
            <w:tcBorders>
              <w:top w:val="nil"/>
              <w:bottom w:val="nil"/>
            </w:tcBorders>
            <w:vAlign w:val="center"/>
          </w:tcPr>
          <w:p w14:paraId="7049AF99"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15%</w:t>
            </w:r>
          </w:p>
        </w:tc>
        <w:tc>
          <w:tcPr>
            <w:tcW w:w="1751" w:type="dxa"/>
            <w:tcBorders>
              <w:top w:val="nil"/>
              <w:bottom w:val="nil"/>
            </w:tcBorders>
            <w:vAlign w:val="center"/>
          </w:tcPr>
          <w:p w14:paraId="55E2788B"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8%</w:t>
            </w:r>
          </w:p>
        </w:tc>
      </w:tr>
      <w:tr w:rsidR="00B30CD7" w:rsidRPr="00160103" w14:paraId="1B1B3783" w14:textId="77777777" w:rsidTr="00160103">
        <w:tc>
          <w:tcPr>
            <w:tcW w:w="1560" w:type="dxa"/>
            <w:tcBorders>
              <w:top w:val="nil"/>
            </w:tcBorders>
          </w:tcPr>
          <w:p w14:paraId="1E786F97"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Very low</w:t>
            </w:r>
          </w:p>
        </w:tc>
        <w:tc>
          <w:tcPr>
            <w:tcW w:w="1527" w:type="dxa"/>
            <w:tcBorders>
              <w:top w:val="nil"/>
            </w:tcBorders>
            <w:vAlign w:val="center"/>
          </w:tcPr>
          <w:p w14:paraId="0D5DBB1E"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38%</w:t>
            </w:r>
          </w:p>
        </w:tc>
        <w:tc>
          <w:tcPr>
            <w:tcW w:w="2147" w:type="dxa"/>
            <w:tcBorders>
              <w:top w:val="nil"/>
            </w:tcBorders>
            <w:vAlign w:val="center"/>
          </w:tcPr>
          <w:p w14:paraId="5FE01768"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15%</w:t>
            </w:r>
          </w:p>
        </w:tc>
        <w:tc>
          <w:tcPr>
            <w:tcW w:w="2090" w:type="dxa"/>
            <w:tcBorders>
              <w:top w:val="nil"/>
            </w:tcBorders>
            <w:vAlign w:val="center"/>
          </w:tcPr>
          <w:p w14:paraId="32EEE2C0"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0%</w:t>
            </w:r>
          </w:p>
        </w:tc>
        <w:tc>
          <w:tcPr>
            <w:tcW w:w="1751" w:type="dxa"/>
            <w:tcBorders>
              <w:top w:val="nil"/>
            </w:tcBorders>
            <w:vAlign w:val="center"/>
          </w:tcPr>
          <w:p w14:paraId="117D9DCB" w14:textId="77777777" w:rsidR="00B30CD7" w:rsidRPr="00AB28AB" w:rsidRDefault="00B30CD7" w:rsidP="00160103">
            <w:pPr>
              <w:tabs>
                <w:tab w:val="left" w:pos="1134"/>
              </w:tabs>
              <w:jc w:val="center"/>
              <w:rPr>
                <w:rFonts w:ascii="Barlow" w:eastAsia="Lustria" w:hAnsi="Barlow" w:cs="Lustria"/>
                <w:sz w:val="18"/>
                <w:szCs w:val="18"/>
              </w:rPr>
            </w:pPr>
            <w:r w:rsidRPr="00AB28AB">
              <w:rPr>
                <w:rFonts w:ascii="Barlow" w:eastAsia="Lustria" w:hAnsi="Barlow" w:cs="Lustria"/>
                <w:sz w:val="18"/>
                <w:szCs w:val="18"/>
              </w:rPr>
              <w:t>31%</w:t>
            </w:r>
          </w:p>
        </w:tc>
      </w:tr>
      <w:tr w:rsidR="00B30CD7" w:rsidRPr="00160103" w14:paraId="4B9AB599" w14:textId="77777777" w:rsidTr="00160103">
        <w:tc>
          <w:tcPr>
            <w:tcW w:w="1560" w:type="dxa"/>
            <w:shd w:val="clear" w:color="auto" w:fill="FABF8F" w:themeFill="accent6" w:themeFillTint="99"/>
            <w:vAlign w:val="center"/>
          </w:tcPr>
          <w:p w14:paraId="7E2D49FE" w14:textId="77777777" w:rsidR="00B30CD7" w:rsidRPr="00AB28AB" w:rsidRDefault="00B30CD7" w:rsidP="00160103">
            <w:pPr>
              <w:tabs>
                <w:tab w:val="left" w:pos="1134"/>
              </w:tabs>
              <w:jc w:val="center"/>
              <w:rPr>
                <w:rFonts w:ascii="Barlow" w:eastAsia="Lustria" w:hAnsi="Barlow" w:cs="Lustria"/>
                <w:sz w:val="18"/>
                <w:szCs w:val="18"/>
                <w:lang w:val="en-US"/>
              </w:rPr>
            </w:pPr>
            <w:r w:rsidRPr="00AB28AB">
              <w:rPr>
                <w:rFonts w:ascii="Barlow" w:eastAsia="Lustria" w:hAnsi="Barlow" w:cs="Lustria"/>
                <w:b/>
                <w:bCs/>
                <w:sz w:val="18"/>
                <w:szCs w:val="18"/>
              </w:rPr>
              <w:t>Total</w:t>
            </w:r>
          </w:p>
        </w:tc>
        <w:tc>
          <w:tcPr>
            <w:tcW w:w="1527" w:type="dxa"/>
            <w:shd w:val="clear" w:color="auto" w:fill="FABF8F" w:themeFill="accent6" w:themeFillTint="99"/>
            <w:vAlign w:val="center"/>
          </w:tcPr>
          <w:p w14:paraId="2A7C9853" w14:textId="77777777" w:rsidR="00B30CD7" w:rsidRPr="00AB28AB" w:rsidRDefault="00B30CD7" w:rsidP="00160103">
            <w:pPr>
              <w:tabs>
                <w:tab w:val="left" w:pos="1134"/>
              </w:tabs>
              <w:jc w:val="center"/>
              <w:rPr>
                <w:rFonts w:ascii="Barlow" w:eastAsia="Lustria" w:hAnsi="Barlow" w:cs="Lustria"/>
                <w:b/>
                <w:bCs/>
                <w:sz w:val="18"/>
                <w:szCs w:val="18"/>
                <w:lang w:val="en-US"/>
              </w:rPr>
            </w:pPr>
            <w:r w:rsidRPr="00AB28AB">
              <w:rPr>
                <w:rFonts w:ascii="Barlow" w:eastAsia="Lustria" w:hAnsi="Barlow" w:cs="Lustria"/>
                <w:b/>
                <w:bCs/>
                <w:sz w:val="18"/>
                <w:szCs w:val="18"/>
              </w:rPr>
              <w:t>100%</w:t>
            </w:r>
          </w:p>
        </w:tc>
        <w:tc>
          <w:tcPr>
            <w:tcW w:w="2147" w:type="dxa"/>
            <w:shd w:val="clear" w:color="auto" w:fill="FABF8F" w:themeFill="accent6" w:themeFillTint="99"/>
            <w:vAlign w:val="center"/>
          </w:tcPr>
          <w:p w14:paraId="08EC7628" w14:textId="77777777" w:rsidR="00B30CD7" w:rsidRPr="00AB28AB" w:rsidRDefault="00B30CD7" w:rsidP="00160103">
            <w:pPr>
              <w:tabs>
                <w:tab w:val="left" w:pos="1134"/>
              </w:tabs>
              <w:jc w:val="center"/>
              <w:rPr>
                <w:rFonts w:ascii="Barlow" w:eastAsia="Lustria" w:hAnsi="Barlow" w:cs="Lustria"/>
                <w:b/>
                <w:bCs/>
                <w:sz w:val="18"/>
                <w:szCs w:val="18"/>
                <w:lang w:val="en-US"/>
              </w:rPr>
            </w:pPr>
            <w:r w:rsidRPr="00AB28AB">
              <w:rPr>
                <w:rFonts w:ascii="Barlow" w:eastAsia="Lustria" w:hAnsi="Barlow" w:cs="Lustria"/>
                <w:b/>
                <w:bCs/>
                <w:sz w:val="18"/>
                <w:szCs w:val="18"/>
              </w:rPr>
              <w:t>100%</w:t>
            </w:r>
          </w:p>
        </w:tc>
        <w:tc>
          <w:tcPr>
            <w:tcW w:w="2090" w:type="dxa"/>
            <w:shd w:val="clear" w:color="auto" w:fill="FABF8F" w:themeFill="accent6" w:themeFillTint="99"/>
            <w:vAlign w:val="center"/>
          </w:tcPr>
          <w:p w14:paraId="727D9360" w14:textId="77777777" w:rsidR="00B30CD7" w:rsidRPr="00AB28AB" w:rsidRDefault="00B30CD7" w:rsidP="00160103">
            <w:pPr>
              <w:tabs>
                <w:tab w:val="left" w:pos="1134"/>
              </w:tabs>
              <w:jc w:val="center"/>
              <w:rPr>
                <w:rFonts w:ascii="Barlow" w:eastAsia="Lustria" w:hAnsi="Barlow" w:cs="Lustria"/>
                <w:b/>
                <w:bCs/>
                <w:sz w:val="18"/>
                <w:szCs w:val="18"/>
                <w:lang w:val="en-US"/>
              </w:rPr>
            </w:pPr>
            <w:r w:rsidRPr="00AB28AB">
              <w:rPr>
                <w:rFonts w:ascii="Barlow" w:eastAsia="Lustria" w:hAnsi="Barlow" w:cs="Lustria"/>
                <w:b/>
                <w:bCs/>
                <w:sz w:val="18"/>
                <w:szCs w:val="18"/>
              </w:rPr>
              <w:t>100%</w:t>
            </w:r>
          </w:p>
        </w:tc>
        <w:tc>
          <w:tcPr>
            <w:tcW w:w="1751" w:type="dxa"/>
            <w:shd w:val="clear" w:color="auto" w:fill="FABF8F" w:themeFill="accent6" w:themeFillTint="99"/>
            <w:vAlign w:val="center"/>
          </w:tcPr>
          <w:p w14:paraId="568BC894" w14:textId="77777777" w:rsidR="00B30CD7" w:rsidRPr="00AB28AB" w:rsidRDefault="00B30CD7" w:rsidP="00160103">
            <w:pPr>
              <w:tabs>
                <w:tab w:val="left" w:pos="1134"/>
              </w:tabs>
              <w:jc w:val="center"/>
              <w:rPr>
                <w:rFonts w:ascii="Barlow" w:eastAsia="Lustria" w:hAnsi="Barlow" w:cs="Lustria"/>
                <w:b/>
                <w:bCs/>
                <w:sz w:val="18"/>
                <w:szCs w:val="18"/>
                <w:lang w:val="en-US"/>
              </w:rPr>
            </w:pPr>
            <w:r w:rsidRPr="00AB28AB">
              <w:rPr>
                <w:rFonts w:ascii="Barlow" w:eastAsia="Lustria" w:hAnsi="Barlow" w:cs="Lustria"/>
                <w:b/>
                <w:bCs/>
                <w:sz w:val="18"/>
                <w:szCs w:val="18"/>
              </w:rPr>
              <w:t>100%</w:t>
            </w:r>
          </w:p>
        </w:tc>
      </w:tr>
    </w:tbl>
    <w:bookmarkEnd w:id="3"/>
    <w:p w14:paraId="093594A3" w14:textId="77777777" w:rsidR="00B30CD7" w:rsidRPr="00160103" w:rsidRDefault="00483CFC" w:rsidP="00483CFC">
      <w:pPr>
        <w:spacing w:after="0" w:line="360" w:lineRule="auto"/>
        <w:jc w:val="center"/>
        <w:rPr>
          <w:rFonts w:ascii="Barlow" w:eastAsia="Lustria" w:hAnsi="Barlow" w:cs="Lustria"/>
          <w:b/>
        </w:rPr>
      </w:pPr>
      <w:r>
        <w:rPr>
          <w:rFonts w:ascii="Barlow" w:eastAsia="Lustria" w:hAnsi="Barlow" w:cs="Lustria"/>
          <w:b/>
          <w:noProof/>
        </w:rPr>
        <w:lastRenderedPageBreak/>
        <w:drawing>
          <wp:inline distT="0" distB="0" distL="0" distR="0" wp14:anchorId="23EF9816" wp14:editId="261543FF">
            <wp:extent cx="3063923" cy="1695236"/>
            <wp:effectExtent l="0" t="0" r="3175" b="635"/>
            <wp:docPr id="1011186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0566" cy="1704444"/>
                    </a:xfrm>
                    <a:prstGeom prst="rect">
                      <a:avLst/>
                    </a:prstGeom>
                    <a:noFill/>
                  </pic:spPr>
                </pic:pic>
              </a:graphicData>
            </a:graphic>
          </wp:inline>
        </w:drawing>
      </w:r>
    </w:p>
    <w:p w14:paraId="6793F3D3" w14:textId="77777777" w:rsidR="00B30CD7" w:rsidRPr="00483CFC" w:rsidRDefault="00B30CD7" w:rsidP="00160103">
      <w:pPr>
        <w:spacing w:after="0" w:line="240" w:lineRule="auto"/>
        <w:jc w:val="center"/>
        <w:rPr>
          <w:rFonts w:ascii="Barlow" w:eastAsia="Lustria" w:hAnsi="Barlow" w:cs="Lustria"/>
          <w:sz w:val="24"/>
          <w:szCs w:val="24"/>
        </w:rPr>
      </w:pPr>
      <w:r w:rsidRPr="00483CFC">
        <w:rPr>
          <w:rFonts w:ascii="Barlow" w:eastAsia="Lustria" w:hAnsi="Barlow" w:cs="Lustria"/>
          <w:b/>
          <w:sz w:val="24"/>
          <w:szCs w:val="24"/>
        </w:rPr>
        <w:t xml:space="preserve">Figure 1. </w:t>
      </w:r>
    </w:p>
    <w:p w14:paraId="31FDD1DA" w14:textId="77777777" w:rsidR="00B30CD7" w:rsidRPr="00483CFC" w:rsidRDefault="00B30CD7" w:rsidP="00160103">
      <w:pPr>
        <w:widowControl w:val="0"/>
        <w:spacing w:after="0" w:line="240" w:lineRule="auto"/>
        <w:jc w:val="center"/>
        <w:rPr>
          <w:rFonts w:ascii="Barlow" w:eastAsia="Lustria" w:hAnsi="Barlow" w:cs="Lustria"/>
          <w:iCs/>
          <w:sz w:val="24"/>
          <w:szCs w:val="24"/>
        </w:rPr>
      </w:pPr>
      <w:r w:rsidRPr="00483CFC">
        <w:rPr>
          <w:rFonts w:ascii="Barlow" w:eastAsia="Lustria" w:hAnsi="Barlow" w:cs="Lustria"/>
          <w:sz w:val="24"/>
          <w:szCs w:val="24"/>
        </w:rPr>
        <w:t xml:space="preserve">Results of Physical Education Teachers' Perception of Inclusive Learning in </w:t>
      </w:r>
      <w:r w:rsidRPr="00483CFC">
        <w:rPr>
          <w:rFonts w:ascii="Barlow" w:eastAsia="Lustria" w:hAnsi="Barlow" w:cs="Lustria"/>
          <w:iCs/>
          <w:sz w:val="24"/>
          <w:szCs w:val="24"/>
        </w:rPr>
        <w:t>Martapura District Elementary School</w:t>
      </w:r>
    </w:p>
    <w:p w14:paraId="716856C2" w14:textId="77777777" w:rsidR="00160103" w:rsidRPr="00160103" w:rsidRDefault="00160103" w:rsidP="00160103">
      <w:pPr>
        <w:widowControl w:val="0"/>
        <w:spacing w:after="0" w:line="240" w:lineRule="auto"/>
        <w:jc w:val="center"/>
        <w:rPr>
          <w:rFonts w:ascii="Barlow" w:eastAsia="Lustria" w:hAnsi="Barlow" w:cs="Lustria"/>
        </w:rPr>
      </w:pPr>
    </w:p>
    <w:p w14:paraId="4AD54404"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Based on the data results from table 1 and figure 1, the percentage distribution shows several factors how the perception of Physical Education teachers towards inclusive learning in Martapura District Elementary Schools is that the variation of different categories in the overall aspect, the factor of understanding the concept of inclusion in the category of "very high" 23% (3 teachers), the "high" category 23% (3 teachers), the "low" category 15% (2 teachers),  and the category "very low" 38% (5 teachers). Meanwhile, the readiness and ability factor of Physical Education teachers in the "very high" category is 23% (3 teachers), the "high" category is 15% (2 teachers), the "low" category is 38% (5 teachers), and the "very low" category is 15% (2 teachers). Factors of obstacles and challenges of inclusion learning at Martapura District Elementary School in the "very high" category of 8% (1 teacher), "high" category 77% (10 teachers), "low" category 15% (2 teachers), and "very low" category 0% (0 teachers). </w:t>
      </w:r>
    </w:p>
    <w:p w14:paraId="729F2AE3" w14:textId="77777777" w:rsidR="00B30CD7"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Furthermore, it shows the support factors of school principals and school policies in the "very high" category 46% (6 teachers), "high" category 15% (2 teachers), "low" category 8% (1 teacher), and "very low" category 31% (4 teachers). Therefore, it can be concluded that Physical Education teachers at Martapura District Elementary Schools mostly have diverse perceptions of inclusive learning, with a tendency in the "high" and "very low" categories. This shows that there are still gaps in understanding, readiness, and support that need to be addressed and improved to maximi</w:t>
      </w:r>
      <w:r w:rsidR="00AB28AB">
        <w:rPr>
          <w:rFonts w:ascii="Barlow" w:eastAsia="Lustria" w:hAnsi="Barlow" w:cs="Lustria"/>
          <w:sz w:val="24"/>
          <w:szCs w:val="24"/>
        </w:rPr>
        <w:t>s</w:t>
      </w:r>
      <w:r w:rsidRPr="00160103">
        <w:rPr>
          <w:rFonts w:ascii="Barlow" w:eastAsia="Lustria" w:hAnsi="Barlow" w:cs="Lustria"/>
          <w:sz w:val="24"/>
          <w:szCs w:val="24"/>
        </w:rPr>
        <w:t>e the implementation of inclusive learning as a whole in the educational environment.</w:t>
      </w:r>
    </w:p>
    <w:p w14:paraId="5F3D33B5" w14:textId="77777777" w:rsidR="00483CFC" w:rsidRDefault="00483CFC" w:rsidP="00483CFC">
      <w:pPr>
        <w:widowControl w:val="0"/>
        <w:spacing w:after="0"/>
        <w:jc w:val="both"/>
        <w:rPr>
          <w:rFonts w:ascii="Barlow" w:eastAsia="Lustria" w:hAnsi="Barlow" w:cs="Lustria"/>
          <w:b/>
          <w:bCs/>
          <w:sz w:val="24"/>
          <w:szCs w:val="24"/>
        </w:rPr>
      </w:pPr>
    </w:p>
    <w:p w14:paraId="49F5A0A9" w14:textId="77777777" w:rsidR="00483CFC" w:rsidRPr="00483CFC" w:rsidRDefault="00483CFC" w:rsidP="00483CFC">
      <w:pPr>
        <w:widowControl w:val="0"/>
        <w:spacing w:after="0"/>
        <w:jc w:val="both"/>
        <w:rPr>
          <w:rFonts w:ascii="Barlow" w:eastAsia="Lustria" w:hAnsi="Barlow" w:cs="Lustria"/>
          <w:b/>
          <w:bCs/>
          <w:sz w:val="24"/>
          <w:szCs w:val="24"/>
        </w:rPr>
      </w:pPr>
      <w:r w:rsidRPr="00483CFC">
        <w:rPr>
          <w:rFonts w:ascii="Barlow" w:eastAsia="Lustria" w:hAnsi="Barlow" w:cs="Lustria"/>
          <w:b/>
          <w:bCs/>
          <w:sz w:val="24"/>
          <w:szCs w:val="24"/>
        </w:rPr>
        <w:t>Discussion</w:t>
      </w:r>
    </w:p>
    <w:p w14:paraId="6F216189"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The purpose of this study is to find out teachers' perceptions of the inclusion education system in elementary schools.  The results showed that Physical Education teachers at Martapura District Elementary School viewed inclusive learning in a variety of ways</w:t>
      </w:r>
      <w:r w:rsidR="00AB28AB">
        <w:rPr>
          <w:rFonts w:ascii="Barlow" w:eastAsia="Lustria" w:hAnsi="Barlow" w:cs="Lustria"/>
          <w:sz w:val="24"/>
          <w:szCs w:val="24"/>
        </w:rPr>
        <w:t>,</w:t>
      </w:r>
      <w:r w:rsidRPr="00160103">
        <w:rPr>
          <w:rFonts w:ascii="Barlow" w:eastAsia="Lustria" w:hAnsi="Barlow" w:cs="Lustria"/>
          <w:sz w:val="24"/>
          <w:szCs w:val="24"/>
        </w:rPr>
        <w:t xml:space="preserve"> and may not be optimal. In addition, due to the limited amount of training received, there are still problems for teachers to create lesson plans, change physical activities, and conduct inclusion assessments, there are many teachers who face issues such as inadequate facilities and infrastructure, limited tools, limited time, limited number of students, and lack of specialized tutors. Nevertheless, it is classified very </w:t>
      </w:r>
      <w:r w:rsidRPr="00160103">
        <w:rPr>
          <w:rFonts w:ascii="Barlow" w:eastAsia="Lustria" w:hAnsi="Barlow" w:cs="Lustria"/>
          <w:sz w:val="24"/>
          <w:szCs w:val="24"/>
        </w:rPr>
        <w:lastRenderedPageBreak/>
        <w:t xml:space="preserve">highly against the policy support and facilities of school principals towards diversity, although it is uneven. However, it is an important part of the work of Physical Education teachers in inclusive learning. </w:t>
      </w:r>
    </w:p>
    <w:p w14:paraId="6EA7C56B"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The author will explain the perception of Physical Education teachers towards inclusive learning based on the following factors: Factors related to understanding the concept of inclusion show that 38% of Physical Education teachers in Martapura District Elementary Schools have a very low understanding of inclusive learning. One of the main factors that affect</w:t>
      </w:r>
      <w:r w:rsidR="00AB28AB">
        <w:rPr>
          <w:rFonts w:ascii="Barlow" w:eastAsia="Lustria" w:hAnsi="Barlow" w:cs="Lustria"/>
          <w:sz w:val="24"/>
          <w:szCs w:val="24"/>
        </w:rPr>
        <w:t>s</w:t>
      </w:r>
      <w:r w:rsidRPr="00160103">
        <w:rPr>
          <w:rFonts w:ascii="Barlow" w:eastAsia="Lustria" w:hAnsi="Barlow" w:cs="Lustria"/>
          <w:sz w:val="24"/>
          <w:szCs w:val="24"/>
        </w:rPr>
        <w:t xml:space="preserve"> this low perception is that teachers do not understand the core concept of inclusive learning itself. </w:t>
      </w:r>
    </w:p>
    <w:p w14:paraId="354D956E" w14:textId="77777777" w:rsidR="00B30CD7" w:rsidRPr="00160103" w:rsidRDefault="00B30CD7" w:rsidP="00160103">
      <w:pPr>
        <w:widowControl w:val="0"/>
        <w:spacing w:after="0"/>
        <w:ind w:firstLine="567"/>
        <w:jc w:val="both"/>
        <w:rPr>
          <w:rFonts w:ascii="Barlow" w:eastAsia="Lustria" w:hAnsi="Barlow" w:cs="Lustria"/>
          <w:sz w:val="24"/>
          <w:szCs w:val="24"/>
          <w:lang w:val="en-US"/>
        </w:rPr>
      </w:pPr>
      <w:r w:rsidRPr="00160103">
        <w:rPr>
          <w:rFonts w:ascii="Barlow" w:eastAsia="Lustria" w:hAnsi="Barlow" w:cs="Lustria"/>
          <w:sz w:val="24"/>
          <w:szCs w:val="24"/>
        </w:rPr>
        <w:t>Data collected from the questionnaire show</w:t>
      </w:r>
      <w:r w:rsidR="00AB28AB">
        <w:rPr>
          <w:rFonts w:ascii="Barlow" w:eastAsia="Lustria" w:hAnsi="Barlow" w:cs="Lustria"/>
          <w:sz w:val="24"/>
          <w:szCs w:val="24"/>
        </w:rPr>
        <w:t>s</w:t>
      </w:r>
      <w:r w:rsidRPr="00160103">
        <w:rPr>
          <w:rFonts w:ascii="Barlow" w:eastAsia="Lustria" w:hAnsi="Barlow" w:cs="Lustria"/>
          <w:sz w:val="24"/>
          <w:szCs w:val="24"/>
        </w:rPr>
        <w:t xml:space="preserve"> that few teachers truly understand the concept of inclusive education. Most of the Physical Education teachers in this group still lack understanding of the concept of inclusive learning, its purpose, and its implementation in physical education. They are more likely to believe that inclusive learning is a type of education that is only intended for students with special needs. It is not like learning that is fair and equal for every student.</w:t>
      </w:r>
    </w:p>
    <w:p w14:paraId="7C6A64AA" w14:textId="77777777" w:rsidR="00B30CD7" w:rsidRPr="00160103" w:rsidRDefault="00B30CD7" w:rsidP="00160103">
      <w:pPr>
        <w:widowControl w:val="0"/>
        <w:spacing w:after="0"/>
        <w:ind w:firstLine="567"/>
        <w:jc w:val="both"/>
        <w:rPr>
          <w:rFonts w:ascii="Barlow" w:eastAsia="Lustria" w:hAnsi="Barlow" w:cs="Lustria"/>
          <w:sz w:val="24"/>
          <w:szCs w:val="24"/>
          <w:lang w:val="en-US"/>
        </w:rPr>
      </w:pPr>
      <w:r w:rsidRPr="00160103">
        <w:rPr>
          <w:rFonts w:ascii="Barlow" w:eastAsia="Lustria" w:hAnsi="Barlow" w:cs="Lustria"/>
          <w:sz w:val="24"/>
          <w:szCs w:val="24"/>
        </w:rPr>
        <w:t>Another factor that makes Physical Education teachers less aware of inclusi</w:t>
      </w:r>
      <w:r w:rsidR="00AB28AB">
        <w:rPr>
          <w:rFonts w:ascii="Barlow" w:eastAsia="Lustria" w:hAnsi="Barlow" w:cs="Lustria"/>
          <w:sz w:val="24"/>
          <w:szCs w:val="24"/>
        </w:rPr>
        <w:t>ve</w:t>
      </w:r>
      <w:r w:rsidRPr="00160103">
        <w:rPr>
          <w:rFonts w:ascii="Barlow" w:eastAsia="Lustria" w:hAnsi="Barlow" w:cs="Lustria"/>
          <w:sz w:val="24"/>
          <w:szCs w:val="24"/>
        </w:rPr>
        <w:t xml:space="preserve"> learning is the readiness and ability of Physical Education teachers to implement learning </w:t>
      </w:r>
      <w:r w:rsidR="00AB28AB">
        <w:rPr>
          <w:rFonts w:ascii="Barlow" w:eastAsia="Lustria" w:hAnsi="Barlow" w:cs="Lustria"/>
          <w:sz w:val="24"/>
          <w:szCs w:val="24"/>
        </w:rPr>
        <w:t>following</w:t>
      </w:r>
      <w:r w:rsidRPr="00160103">
        <w:rPr>
          <w:rFonts w:ascii="Barlow" w:eastAsia="Lustria" w:hAnsi="Barlow" w:cs="Lustria"/>
          <w:sz w:val="24"/>
          <w:szCs w:val="24"/>
        </w:rPr>
        <w:t xml:space="preserve"> the principles of inclusion. According to the results of the study, 38% of Physical Education teachers fall into this category. According to research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{"citationItems":[{"id":"ITEM-1","itemData":{"DOI":"10.3390/children9010108","ISSN":"22279067","abstract":"The prevailing rights and quality of life approaches call for the inclusion of people with diversity and/or disabilities in society, including their participation in the educational system. There-fore, different institutions are urging countries to take action to ensure that students with disabilities receive the accommodations and supports they need within the framework of inclusive education. The idiosyncrasies of physical education (PE) classes can be an opportunity to encourage the participation and inclusion of these students. Thus, this study aims to evaluate the PE teachers’ perception about their preparation to address inclusive education. The study involved 260 Spanish primary and secondary PE teachers who answered a sociodemographic questionnaire, three dichotomic questions about their initial and ongoing preparation and the Evaluation of Teacher Training for Inclusion Questionnaire (CEFI-R). PE teachers believe that they have not received the necessary initial preparation and they consider it important to assist in ongoing courses to address their students’ diverse needs. PE teachers are aware of the importance of inclusive education and perceive greater difficulties in secondary education. PE teachers also showed a good predisposition to teach students with special educational support needs, especially found in primary school teachers through the CEFI-R Dimension 1, with statistically significant differences.","author":[{"dropping-particle":"","family":"Rojo-Ramos","given":"Jorge","non-dropping-particle":"","parse-names":false,"suffix":""},{"dropping-particle":"","family":"Manzano-Redondo","given":"Fernando","non-dropping-particle":"","parse-names":false,"suffix":""},{"dropping-particle":"","family":"Adsuar","given":"José Carmelo","non-dropping-particle":"","parse-names":false,"suffix":""},{"dropping-particle":"","family":"Acevedo-Duque","given":"Ángel","non-dropping-particle":"","parse-names":false,"suffix":""},{"dropping-particle":"","family":"Gomez-Paniagua","given":"Santiago","non-dropping-particle":"","parse-names":false,"suffix":""},{"dropping-particle":"","family":"Barrios-Fernandez","given":"Sabina","non-dropping-particle":"","parse-names":false,"suffix":""}],"container-title":"Children","id":"ITEM-1","issue":"1","issued":{"date-parts":[["2022"]]},"page":"1-11","title":"Spanish Physical Education Teachers’ Perceptions about Their Preparation for Inclusive Education","type":"article-journal","volume":"9"},"uris":["http://www.mendeley.com/documents/?uuid=b9234e57-9995-4177-925e-4f61c4082a4e"]}],"mendeley":{"formattedCitation":"(Rojo-Ramos et al., 2022)","plainTextFormattedCitation":"(Rojo-Ramos et al., 2022)","previouslyFormattedCitation":"(Rojo-Ramos et al., 2022)"},"properties":{"noteIndex":0},"schema":"https://github.com/citation-style-language/schema/raw/master/csl-citation.json"}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(Rojo-Ramos et al., 2022)</w:t>
      </w:r>
      <w:r w:rsidRPr="00160103">
        <w:rPr>
          <w:rFonts w:ascii="Barlow" w:eastAsia="Lustria" w:hAnsi="Barlow" w:cs="Lustria"/>
          <w:sz w:val="24"/>
          <w:szCs w:val="24"/>
        </w:rPr>
        <w:fldChar w:fldCharType="end"/>
      </w:r>
      <w:r w:rsidR="00AB28AB">
        <w:rPr>
          <w:rFonts w:ascii="Barlow" w:eastAsia="Lustria" w:hAnsi="Barlow" w:cs="Lustria"/>
          <w:sz w:val="24"/>
          <w:szCs w:val="24"/>
        </w:rPr>
        <w:t>,</w:t>
      </w:r>
      <w:r w:rsidRPr="00160103">
        <w:rPr>
          <w:rFonts w:ascii="Barlow" w:eastAsia="Lustria" w:hAnsi="Barlow" w:cs="Lustria"/>
          <w:sz w:val="24"/>
          <w:szCs w:val="24"/>
        </w:rPr>
        <w:t xml:space="preserve"> a set of perceptions, beliefs, positive or negative feelings, and ways of reacting to educational attitudes focused on learning achievement for all students.</w:t>
      </w:r>
    </w:p>
    <w:p w14:paraId="18A4C772"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The results show that teachers still need support in terms of mental readiness, pedagogical expertise, and technical skills to manage inclusive learning well. Have the ability to create a learning implementation plan (RPP) that is friendly to student diversity, make decisions about customizable learning models and methods, and create a fair assessment strategy for all students, including those with special needs.</w:t>
      </w:r>
    </w:p>
    <w:p w14:paraId="0484134B"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According to research conducted by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{"citationItems":[{"id":"ITEM-1","itemData":{"DOI":"10.20527/mpj.v2i1.1048","abstract":"Penelitian ini dilatarbelakangi oleh kurangnya pemahaman tentang kurikulum 2013 terkhusus pada penilaian dan evaluasi. kemudian penelitian ini bertujuan untuk mengetahui bagaimana kriteria penilaian pendidikan jasmani aspek psikomotor pada proses belajar mengajar berdasarkan kurikulum 2013. Penelitian ini menggunakan metode penelitian kuantitatif. Jenis penelitian yang digunakan adalah penelitian survei dengan teknik pengumpulan data berupa dokumentasi dari RPP dan LKPD dari pendidik. Sampel dari penelitian ini adalah Sekolah Dasar Negeri yang bermitra dengan kampus JPOK FKIP ULM di Kota Banjarbaru yang berjumlah 5 sekolah. Teknik analisis data menggunakan statistik deskriptif yang dituangkan dalam presentase.","author":[{"dropping-particle":"","family":"Krismayadi","given":"I Wayan","non-dropping-particle":"","parse-names":false,"suffix":""},{"dropping-particle":"","family":"Sofyan","given":"Sofyan","non-dropping-particle":"","parse-names":false,"suffix":""},{"dropping-particle":"","family":"Rahmadi","given":"Rahmadi","non-dropping-particle":"","parse-names":false,"suffix":""}],"container-title":"STABILITAS: Jurnal Pendidikan Jasmani dan Olahraga","id":"ITEM-1","issue":"1","issued":{"date-parts":[["2021"]]},"page":"12-17","title":"Kriteria Penilaian Guru Pendidikan Jasmani Aspek Psikomotor Pada Sekolah Dasar Mitra Jpok Fkip Ulm","type":"article-journal","volume":"2"},"uris":["http://www.mendeley.com/documents/?uuid=20574f7f-3bea-4b9e-9d80-74ece4a5b1d1"]}],"mendeley":{"formattedCitation":"(Krismayadi et al., 2021)","plainTextFormattedCitation":"(Krismayadi et al., 2021)","previouslyFormattedCitation":"(Krismayadi et al., 2021)"},"properties":{"noteIndex":0},"schema":"https://github.com/citation-style-language/schema/raw/master/csl-citation.json"}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(Krismayadi et al., 2021)</w:t>
      </w:r>
      <w:r w:rsidRPr="00160103">
        <w:rPr>
          <w:rFonts w:ascii="Barlow" w:eastAsia="Lustria" w:hAnsi="Barlow" w:cs="Lustria"/>
          <w:sz w:val="24"/>
          <w:szCs w:val="24"/>
        </w:rPr>
        <w:fldChar w:fldCharType="end"/>
      </w:r>
      <w:r w:rsidR="00AB28AB">
        <w:rPr>
          <w:rFonts w:ascii="Barlow" w:eastAsia="Lustria" w:hAnsi="Barlow" w:cs="Lustria"/>
          <w:sz w:val="24"/>
          <w:szCs w:val="24"/>
        </w:rPr>
        <w:t>,</w:t>
      </w:r>
      <w:r w:rsidRPr="00160103">
        <w:rPr>
          <w:rFonts w:ascii="Barlow" w:eastAsia="Lustria" w:hAnsi="Barlow" w:cs="Lustria"/>
          <w:sz w:val="24"/>
          <w:szCs w:val="24"/>
        </w:rPr>
        <w:t xml:space="preserve"> Learning outcome assessment is carried out by teachers </w:t>
      </w:r>
      <w:r w:rsidR="00AB28AB">
        <w:rPr>
          <w:rFonts w:ascii="Barlow" w:eastAsia="Lustria" w:hAnsi="Barlow" w:cs="Lustria"/>
          <w:sz w:val="24"/>
          <w:szCs w:val="24"/>
        </w:rPr>
        <w:t>to review and evaluate</w:t>
      </w:r>
      <w:r w:rsidRPr="00160103">
        <w:rPr>
          <w:rFonts w:ascii="Barlow" w:eastAsia="Lustria" w:hAnsi="Barlow" w:cs="Lustria"/>
          <w:sz w:val="24"/>
          <w:szCs w:val="24"/>
        </w:rPr>
        <w:t xml:space="preserve"> the process, improving learning, and improving student learning outcomes on an ongoing basis. Nevertheless, there are some Physical Education teachers who argue that they are still using a conventional approach, which tends to focus on regular students and has not fully paid attention to the needs of different students. However, </w:t>
      </w:r>
      <w:r w:rsidR="00AB28AB">
        <w:rPr>
          <w:rFonts w:ascii="Barlow" w:eastAsia="Lustria" w:hAnsi="Barlow" w:cs="Lustria"/>
          <w:sz w:val="24"/>
          <w:szCs w:val="24"/>
        </w:rPr>
        <w:t>some teachers</w:t>
      </w:r>
      <w:r w:rsidRPr="00160103">
        <w:rPr>
          <w:rFonts w:ascii="Barlow" w:eastAsia="Lustria" w:hAnsi="Barlow" w:cs="Lustria"/>
          <w:sz w:val="24"/>
          <w:szCs w:val="24"/>
        </w:rPr>
        <w:t xml:space="preserve"> are ready and able to implement inclusive learning.  </w:t>
      </w:r>
    </w:p>
    <w:p w14:paraId="59E4E489"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Although Physical Education teachers do not make individual learning plans (RPIs), they do tailor learning implementation plans (RPP) to the abilities of children with special needs. Children with special needs remain engaged in Physical Education lessons because they are happy with the lessons as well as their reduced volume of movement. </w:t>
      </w:r>
      <w:r w:rsidR="00AB28AB">
        <w:rPr>
          <w:rFonts w:ascii="Barlow" w:eastAsia="Lustria" w:hAnsi="Barlow" w:cs="Lustria"/>
          <w:sz w:val="24"/>
          <w:szCs w:val="24"/>
        </w:rPr>
        <w:t>Several schools</w:t>
      </w:r>
      <w:r w:rsidRPr="00160103">
        <w:rPr>
          <w:rFonts w:ascii="Barlow" w:eastAsia="Lustria" w:hAnsi="Barlow" w:cs="Lustria"/>
          <w:sz w:val="24"/>
          <w:szCs w:val="24"/>
        </w:rPr>
        <w:t xml:space="preserve"> have special assistant teachers from direct service</w:t>
      </w:r>
      <w:r w:rsidR="00AB28AB">
        <w:rPr>
          <w:rFonts w:ascii="Barlow" w:eastAsia="Lustria" w:hAnsi="Barlow" w:cs="Lustria"/>
          <w:sz w:val="24"/>
          <w:szCs w:val="24"/>
        </w:rPr>
        <w:t>,</w:t>
      </w:r>
      <w:r w:rsidRPr="00160103">
        <w:rPr>
          <w:rFonts w:ascii="Barlow" w:eastAsia="Lustria" w:hAnsi="Barlow" w:cs="Lustria"/>
          <w:sz w:val="24"/>
          <w:szCs w:val="24"/>
        </w:rPr>
        <w:t xml:space="preserve"> and there are also those from parents of children with special needs who provide special assistant teachers for their children. </w:t>
      </w:r>
    </w:p>
    <w:p w14:paraId="3D202FC4" w14:textId="77777777" w:rsidR="00B30CD7" w:rsidRPr="00160103" w:rsidRDefault="00B30CD7" w:rsidP="00160103">
      <w:pPr>
        <w:widowControl w:val="0"/>
        <w:spacing w:after="0"/>
        <w:ind w:firstLine="567"/>
        <w:jc w:val="both"/>
        <w:rPr>
          <w:rFonts w:ascii="Barlow" w:eastAsia="Lustria" w:hAnsi="Barlow" w:cs="Lustria"/>
          <w:sz w:val="24"/>
          <w:szCs w:val="24"/>
          <w:lang w:val="en-US"/>
        </w:rPr>
      </w:pPr>
      <w:r w:rsidRPr="00160103">
        <w:rPr>
          <w:rFonts w:ascii="Barlow" w:eastAsia="Lustria" w:hAnsi="Barlow" w:cs="Lustria"/>
          <w:sz w:val="24"/>
          <w:szCs w:val="24"/>
        </w:rPr>
        <w:t xml:space="preserve">In addition, in terms of evaluation, such as the report card system used from the 7 elementary schools that the author researched, there is one school that distinguishes </w:t>
      </w:r>
      <w:r w:rsidRPr="00160103">
        <w:rPr>
          <w:rFonts w:ascii="Barlow" w:eastAsia="Lustria" w:hAnsi="Barlow" w:cs="Lustria"/>
          <w:sz w:val="24"/>
          <w:szCs w:val="24"/>
        </w:rPr>
        <w:lastRenderedPageBreak/>
        <w:t>the report card to show regular students and students with special needs, and the Physical Education teacher states that the assessment of the report card must be adjusted to the ability of the student. Children with special needs have their judgment. The minimum completeness criteria (KKM) for regular children is 70</w:t>
      </w:r>
      <w:r w:rsidR="00AB28AB">
        <w:rPr>
          <w:rFonts w:ascii="Barlow" w:eastAsia="Lustria" w:hAnsi="Barlow" w:cs="Lustria"/>
          <w:sz w:val="24"/>
          <w:szCs w:val="24"/>
        </w:rPr>
        <w:t>,</w:t>
      </w:r>
      <w:r w:rsidRPr="00160103">
        <w:rPr>
          <w:rFonts w:ascii="Barlow" w:eastAsia="Lustria" w:hAnsi="Barlow" w:cs="Lustria"/>
          <w:sz w:val="24"/>
          <w:szCs w:val="24"/>
        </w:rPr>
        <w:t xml:space="preserve"> and the minimum completeness criteria (KKM) for children with special needs is 60. Th</w:t>
      </w:r>
      <w:r w:rsidR="00AB28AB">
        <w:rPr>
          <w:rFonts w:ascii="Barlow" w:eastAsia="Lustria" w:hAnsi="Barlow" w:cs="Lustria"/>
          <w:sz w:val="24"/>
          <w:szCs w:val="24"/>
        </w:rPr>
        <w:t>ree aspects</w:t>
      </w:r>
      <w:r w:rsidRPr="00160103">
        <w:rPr>
          <w:rFonts w:ascii="Barlow" w:eastAsia="Lustria" w:hAnsi="Barlow" w:cs="Lustria"/>
          <w:sz w:val="24"/>
          <w:szCs w:val="24"/>
        </w:rPr>
        <w:t xml:space="preserve"> must be assessed in physical education, namely: cognitive aspect, affective aspect and psychomotor aspect, where each aspect has its purpose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{"citationItems":[{"id":"ITEM-1","itemData":{"DOI":"https://doi.org/10.20527/mpj.v1i1.476","abstract":"… Validitas dan Realibitas Suatu Instrumen Penelitian. Jurnal Tabularasa PSS unimed, 6, 87. Nugroho, A. (2017). Persepsi Guru Penjas Terhadap Evaluasi Pembelajaran Pendidikan Jasmani di SD Se- Kecamatan Berbah. Yogyakarta: Universitas Negeri Yogyakarta …","author":[{"dropping-particle":"","family":"Salasiah","given":"","non-dropping-particle":"","parse-names":false,"suffix":""},{"dropping-particle":"","family":"Rahmadi","given":"","non-dropping-particle":"","parse-names":false,"suffix":""},{"dropping-particle":"","family":"Irianto","given":"Trio","non-dropping-particle":"","parse-names":false,"suffix":""}],"container-title":"Stabilitas: Jurnal Pendidikan Jasmani dan Olahraga","id":"ITEM-1","issue":"1","issued":{"date-parts":[["2020"]]},"page":"25-31","title":"Instrumen Penilaian Harian Aspek Kognitif Pendidikan Jasmani Olahraga Dan Kesehatan","type":"article-journal","volume":"1"},"uris":["http://www.mendeley.com/documents/?uuid=435dd61f-0a24-4bc5-ae48-2567b09f900f"]}],"mendeley":{"formattedCitation":"(Salasiah et al., 2020)","plainTextFormattedCitation":"(Salasiah et al., 2020)","previouslyFormattedCitation":"(Salasiah et al., 2020)"},"properties":{"noteIndex":0},"schema":"https://github.com/citation-style-language/schema/raw/master/csl-citation.json"}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(Salasiah et al., 2020)</w:t>
      </w:r>
      <w:r w:rsidRPr="00160103">
        <w:rPr>
          <w:rFonts w:ascii="Barlow" w:eastAsia="Lustria" w:hAnsi="Barlow" w:cs="Lustria"/>
          <w:sz w:val="24"/>
          <w:szCs w:val="24"/>
        </w:rPr>
        <w:fldChar w:fldCharType="end"/>
      </w:r>
      <w:r w:rsidRPr="00160103">
        <w:rPr>
          <w:rFonts w:ascii="Barlow" w:eastAsia="Lustria" w:hAnsi="Barlow" w:cs="Lustria"/>
          <w:sz w:val="24"/>
          <w:szCs w:val="24"/>
        </w:rPr>
        <w:t xml:space="preserve">. </w:t>
      </w:r>
    </w:p>
    <w:p w14:paraId="16D53D6F" w14:textId="77777777" w:rsidR="00B30CD7" w:rsidRPr="00160103" w:rsidRDefault="00B30CD7" w:rsidP="00160103">
      <w:pPr>
        <w:widowControl w:val="0"/>
        <w:spacing w:after="0"/>
        <w:ind w:firstLine="567"/>
        <w:jc w:val="both"/>
        <w:rPr>
          <w:rFonts w:ascii="Barlow" w:eastAsia="Lustria" w:hAnsi="Barlow" w:cs="Lustria"/>
          <w:sz w:val="24"/>
          <w:szCs w:val="24"/>
        </w:rPr>
      </w:pPr>
      <w:r w:rsidRPr="00AB28AB">
        <w:rPr>
          <w:rFonts w:ascii="Barlow" w:eastAsia="Lustria" w:hAnsi="Barlow" w:cs="Lustria"/>
          <w:spacing w:val="-4"/>
          <w:sz w:val="24"/>
          <w:szCs w:val="24"/>
        </w:rPr>
        <w:t>The factors of obstacles and challenges of inclusive learning show that 77% of Physical Education teachers face problems and difficulties in implementing inclusive learning. This fairly high number suggests that although many educators theoretically understand the importance of inclusive education, it is still not fully implemented in the field. A number of practical and structural constraints affect this. The limitation of facilities and infrastructure that support inclusive Physical Education learning is one of the main challenges faced by teachers. Many elementary schools do not have sufficient sports facilities to meet the needs of all students, especially those with special physical or other needs</w:t>
      </w:r>
      <w:r w:rsidRPr="00160103">
        <w:rPr>
          <w:rFonts w:ascii="Barlow" w:eastAsia="Lustria" w:hAnsi="Barlow" w:cs="Lustria"/>
          <w:sz w:val="24"/>
          <w:szCs w:val="24"/>
        </w:rPr>
        <w:t xml:space="preserve">. </w:t>
      </w:r>
    </w:p>
    <w:p w14:paraId="0DA28CE4"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Learning activities become less accommodating if there are no aids such as sports-friendly wheelchairs, secure mats, or adaptable play tools. Physical Education teachers are also faced with a lack of guidelines or references that can be used to adapt Physical Education materials and learning models to the diverse needs of students. According to </w:t>
      </w:r>
      <w:r w:rsidR="00AB28AB">
        <w:rPr>
          <w:rFonts w:ascii="Barlow" w:eastAsia="Lustria" w:hAnsi="Barlow" w:cs="Lustria"/>
          <w:sz w:val="24"/>
          <w:szCs w:val="24"/>
        </w:rPr>
        <w:t>t</w:t>
      </w:r>
      <w:r w:rsidRPr="00160103">
        <w:rPr>
          <w:rFonts w:ascii="Barlow" w:eastAsia="Lustria" w:hAnsi="Barlow" w:cs="Lustria"/>
          <w:sz w:val="24"/>
          <w:szCs w:val="24"/>
        </w:rPr>
        <w:t>he learning model found in physical education can provide various values contained in life skills</w:t>
      </w:r>
      <w:r w:rsidR="00AB28AB">
        <w:rPr>
          <w:rFonts w:ascii="Barlow" w:eastAsia="Lustria" w:hAnsi="Barlow" w:cs="Lustria"/>
          <w:sz w:val="24"/>
          <w:szCs w:val="24"/>
        </w:rPr>
        <w:t>;</w:t>
      </w:r>
      <w:r w:rsidRPr="00160103">
        <w:rPr>
          <w:rFonts w:ascii="Barlow" w:eastAsia="Lustria" w:hAnsi="Barlow" w:cs="Lustria"/>
          <w:sz w:val="24"/>
          <w:szCs w:val="24"/>
        </w:rPr>
        <w:t xml:space="preserve"> therefore</w:t>
      </w:r>
      <w:r w:rsidR="00AB28AB">
        <w:rPr>
          <w:rFonts w:ascii="Barlow" w:eastAsia="Lustria" w:hAnsi="Barlow" w:cs="Lustria"/>
          <w:sz w:val="24"/>
          <w:szCs w:val="24"/>
        </w:rPr>
        <w:t>,</w:t>
      </w:r>
      <w:r w:rsidRPr="00160103">
        <w:rPr>
          <w:rFonts w:ascii="Barlow" w:eastAsia="Lustria" w:hAnsi="Barlow" w:cs="Lustria"/>
          <w:sz w:val="24"/>
          <w:szCs w:val="24"/>
        </w:rPr>
        <w:t xml:space="preserve"> physical education is an ideal place to develop students' life skills.</w:t>
      </w:r>
    </w:p>
    <w:p w14:paraId="3003B7D5"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In many cases, teachers have not received specific training on how to adapt movements, games, or forms of assessment that are appropriate for students with different types of special needs. This raises doubts in determining the right approach, and can ultimately affect the effectiveness of learning activities. In research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{"citationItems":[{"id":"ITEM-1","itemData":{"DOI":"10.34257/gjhssgvol23is11pg71","ISSN":"0975-587X","abstract":"This systematic review of examines research published from 2012 to 2022 on physical education teachers’ perceptions of including students with special needs in physical education classes. The searches yielded (n=665) studies, of which (n=27) were included, the review describes the teachers’ perspectives on inclusion, the impostance of inclusive education, the barriers encountered by professionals in daily practice and the need for professional development through basic training or through refresher courses.","author":[{"dropping-particle":"","family":"Borges","given":"Silvia","non-dropping-particle":"","parse-names":false,"suffix":""}],"container-title":"Global Journal of Human-Social Science","id":"ITEM-1","issue":"11","issued":{"date-parts":[["2023"]]},"page":"71-75","title":"Perception of Physical Education Teachers about the Inclusion of Students with Special Needs","type":"article-journal","volume":"23"},"uris":["http://www.mendeley.com/documents/?uuid=bb5d6c00-703c-4cca-bd90-aa408a3682a2"]}],"mendeley":{"formattedCitation":"(Borges, 2023)","plainTextFormattedCitation":"(Borges, 2023)","previouslyFormattedCitation":"(Borges, 2023)"},"properties":{"noteIndex":0},"schema":"https://github.com/citation-style-language/schema/raw/master/csl-citation.json"}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(Borges, 2023)</w:t>
      </w:r>
      <w:r w:rsidRPr="00160103">
        <w:rPr>
          <w:rFonts w:ascii="Barlow" w:eastAsia="Lustria" w:hAnsi="Barlow" w:cs="Lustria"/>
          <w:sz w:val="24"/>
          <w:szCs w:val="24"/>
        </w:rPr>
        <w:fldChar w:fldCharType="end"/>
      </w:r>
      <w:r w:rsidR="00AB28AB">
        <w:rPr>
          <w:rFonts w:ascii="Barlow" w:eastAsia="Lustria" w:hAnsi="Barlow" w:cs="Lustria"/>
          <w:sz w:val="24"/>
          <w:szCs w:val="24"/>
        </w:rPr>
        <w:t>,</w:t>
      </w:r>
      <w:r w:rsidRPr="00160103">
        <w:rPr>
          <w:rFonts w:ascii="Barlow" w:eastAsia="Lustria" w:hAnsi="Barlow" w:cs="Lustria"/>
          <w:sz w:val="24"/>
          <w:szCs w:val="24"/>
        </w:rPr>
        <w:t xml:space="preserve"> Vuong, Q.-H., &amp; Trung (2021) stated that there are many factors that can affect whether the education system is inclusive and equitable or not. Teachers' attitudes and skills, infrastructure, pedagogical strategies, and curriculum are some of them. Because inclusive learning in Physical Education usually involves a lot of physical activity, teachers feel the need to be more careful in involving students with special needs. </w:t>
      </w:r>
    </w:p>
    <w:p w14:paraId="19B03847"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In addition, Physical Education teachers often teach in several classrooms with a relatively large number of students in elementary schools, which makes it difficult to give special attention to each student, especially those with special needs and limited face-to-face time. Physical Education teachers are still less involved in intense communication or cooperation with classroom teachers</w:t>
      </w:r>
      <w:r w:rsidR="00AB28AB">
        <w:rPr>
          <w:rFonts w:ascii="Barlow" w:eastAsia="Lustria" w:hAnsi="Barlow" w:cs="Lustria"/>
          <w:sz w:val="24"/>
          <w:szCs w:val="24"/>
        </w:rPr>
        <w:t>,</w:t>
      </w:r>
      <w:r w:rsidRPr="00160103">
        <w:rPr>
          <w:rFonts w:ascii="Barlow" w:eastAsia="Lustria" w:hAnsi="Barlow" w:cs="Lustria"/>
          <w:sz w:val="24"/>
          <w:szCs w:val="24"/>
        </w:rPr>
        <w:t xml:space="preserve"> and lack of speciali</w:t>
      </w:r>
      <w:r w:rsidR="00AB28AB">
        <w:rPr>
          <w:rFonts w:ascii="Barlow" w:eastAsia="Lustria" w:hAnsi="Barlow" w:cs="Lustria"/>
          <w:sz w:val="24"/>
          <w:szCs w:val="24"/>
        </w:rPr>
        <w:t>s</w:t>
      </w:r>
      <w:r w:rsidRPr="00160103">
        <w:rPr>
          <w:rFonts w:ascii="Barlow" w:eastAsia="Lustria" w:hAnsi="Barlow" w:cs="Lustria"/>
          <w:sz w:val="24"/>
          <w:szCs w:val="24"/>
        </w:rPr>
        <w:t>ed companion teachers.  When this cooperation does not go well, the burden of implementing inclusive learning becomes completely focused on the Physical Education teachers, which can overwhelm them.</w:t>
      </w:r>
    </w:p>
    <w:p w14:paraId="186BC3BA" w14:textId="77777777" w:rsidR="00B30CD7" w:rsidRPr="00160103" w:rsidRDefault="00B30CD7" w:rsidP="00160103">
      <w:pPr>
        <w:widowControl w:val="0"/>
        <w:spacing w:after="0"/>
        <w:ind w:firstLine="567"/>
        <w:jc w:val="both"/>
        <w:rPr>
          <w:rFonts w:ascii="Barlow" w:eastAsia="Lustria" w:hAnsi="Barlow" w:cs="Lustria"/>
          <w:sz w:val="24"/>
          <w:szCs w:val="24"/>
          <w:lang w:val="en-US"/>
        </w:rPr>
      </w:pPr>
      <w:r w:rsidRPr="00160103">
        <w:rPr>
          <w:rFonts w:ascii="Barlow" w:eastAsia="Lustria" w:hAnsi="Barlow" w:cs="Lustria"/>
          <w:sz w:val="24"/>
          <w:szCs w:val="24"/>
        </w:rPr>
        <w:t xml:space="preserve">Theoretically, this condition is in line with the idea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{"citationItems":[{"id":"ITEM-1","itemData":{"DOI":"10.1007/s10833-005-1298-4","ISBN":"1083300512984","ISSN":"1389-2843","abstract":"This paper argues that inclusion is the major challenge facing educational systems around the world. Reflecting on evidence from a programme of research carried out over the last 10 years, it provides a framework for determining levers that can help to ease systems in a more inclusive direction. The focus is on factors within schools that influence the development of thinking and practice, as well as wider contextual factors that may constrain such developments. It is argued that many of the barriers experienced by learners arise from existing ways of thinking. Consequently, strategies for developing inclusive practices have to involve interruptions to thinking in order to encourage an exploration of overlooked possibilities for moving practice forward. © Springer 2005.","author":[{"dropping-particle":"","family":"Ainscow","given":"Mel","non-dropping-particle":"","parse-names":false,"suffix":""}],"container-title":"Journal of Educational Change","id":"ITEM-1","issue":"2","issued":{"date-parts":[["2005","6"]]},"page":"109-124","title":"Developing inclusive education systems: what are the levers for change?","type":"article-journal","volume":"6"},"uris":["http://www.mendeley.com/documents/?uuid=7b8cd9c6-a66a-468f-8d0c-6975496142e2"]}],"mendeley":{"formattedCitation":"(Ainscow, 2005)","plainTextFormattedCitation":"(Ainscow, 2005)","previouslyFormattedCitation":"(Ainscow, 2005)"},"properties":{"noteIndex":0},"schema":"https://github.com/citation-style-language/schema/raw/master/csl-citation.json"}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(Ainscow, 2005)</w:t>
      </w:r>
      <w:r w:rsidRPr="00160103">
        <w:rPr>
          <w:rFonts w:ascii="Barlow" w:eastAsia="Lustria" w:hAnsi="Barlow" w:cs="Lustria"/>
          <w:sz w:val="24"/>
          <w:szCs w:val="24"/>
        </w:rPr>
        <w:fldChar w:fldCharType="end"/>
      </w:r>
      <w:r w:rsidR="00AB28AB">
        <w:rPr>
          <w:rFonts w:ascii="Barlow" w:eastAsia="Lustria" w:hAnsi="Barlow" w:cs="Lustria"/>
          <w:sz w:val="24"/>
          <w:szCs w:val="24"/>
        </w:rPr>
        <w:t>.</w:t>
      </w:r>
      <w:r w:rsidRPr="00160103">
        <w:rPr>
          <w:rFonts w:ascii="Barlow" w:eastAsia="Lustria" w:hAnsi="Barlow" w:cs="Lustria"/>
          <w:sz w:val="24"/>
          <w:szCs w:val="24"/>
        </w:rPr>
        <w:t xml:space="preserve"> This leads us to assume that many of the obstacles experienced by learners come from existing ways of thinking. Therefore, strategies to develop inclusive practices must involve disruption to these ways of thinking to encourage insiders to explore possibilities that have been </w:t>
      </w:r>
      <w:r w:rsidRPr="00160103">
        <w:rPr>
          <w:rFonts w:ascii="Barlow" w:eastAsia="Lustria" w:hAnsi="Barlow" w:cs="Lustria"/>
          <w:sz w:val="24"/>
          <w:szCs w:val="24"/>
        </w:rPr>
        <w:lastRenderedPageBreak/>
        <w:t xml:space="preserve">neglected in developing educational practices. Identify various systemic barriers to inclusion implementation, such as lack of training, lack of resources, and inadequate facilities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{"citationItems":[{"id":"ITEM-1","itemData":{"DOI":"10.34257/gjhssgvol23is11pg71","ISSN":"0975-587X","abstract":"This systematic review of examines research published from 2012 to 2022 on physical education teachers’ perceptions of including students with special needs in physical education classes. The searches yielded (n=665) studies, of which (n=27) were included, the review describes the teachers’ perspectives on inclusion, the impostance of inclusive education, the barriers encountered by professionals in daily practice and the need for professional development through basic training or through refresher courses.","author":[{"dropping-particle":"","family":"Borges","given":"Silvia","non-dropping-particle":"","parse-names":false,"suffix":""}],"container-title":"Global Journal of Human-Social Science","id":"ITEM-1","issue":"11","issued":{"date-parts":[["2023"]]},"page":"71-75","title":"Perception of Physical Education Teachers about the Inclusion of Students with Special Needs","type":"article-journal","volume":"23"},"uris":["http://www.mendeley.com/documents/?uuid=bb5d6c00-703c-4cca-bd90-aa408a3682a2"]}],"mendeley":{"formattedCitation":"(Borges, 2023)","plainTextFormattedCitation":"(Borges, 2023)","previouslyFormattedCitation":"(Borges, 2023)"},"properties":{"noteIndex":0},"schema":"https://github.com/citation-style-language/schema/raw/master/csl-citation.json"}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(Borges, 2023)</w:t>
      </w:r>
      <w:r w:rsidRPr="00160103">
        <w:rPr>
          <w:rFonts w:ascii="Barlow" w:eastAsia="Lustria" w:hAnsi="Barlow" w:cs="Lustria"/>
          <w:sz w:val="24"/>
          <w:szCs w:val="24"/>
        </w:rPr>
        <w:fldChar w:fldCharType="end"/>
      </w:r>
      <w:r w:rsidRPr="00160103">
        <w:rPr>
          <w:rFonts w:ascii="Barlow" w:eastAsia="Lustria" w:hAnsi="Barlow" w:cs="Lustria"/>
          <w:sz w:val="24"/>
          <w:szCs w:val="24"/>
        </w:rPr>
        <w:t xml:space="preserve">. It can be said that even though the implementation of integrated physical education has provided adaptive equipment and adequate personnel support, this does not necessarily guarantee the creation of a truly inclusive learning experience for students. If any of these components are not available or running well, then the inclusion process will experience significant bottlenecks </w:t>
      </w:r>
      <w:r w:rsidRPr="00160103">
        <w:rPr>
          <w:rFonts w:ascii="Barlow" w:eastAsia="Lustria" w:hAnsi="Barlow" w:cs="Lustria"/>
          <w:sz w:val="24"/>
          <w:szCs w:val="24"/>
        </w:rPr>
        <w:fldChar w:fldCharType="begin" w:fldLock="1"/>
      </w:r>
      <w:r w:rsidRPr="00160103">
        <w:rPr>
          <w:rFonts w:ascii="Barlow" w:eastAsia="Lustria" w:hAnsi="Barlow" w:cs="Lustria"/>
          <w:sz w:val="24"/>
          <w:szCs w:val="24"/>
        </w:rPr>
        <w:instrText>ADDIN CSL_CITATION {"citationItems":[{"id":"ITEM-1","itemData":{"DOI":"10.1177/1356336X20944429","ISSN":"17412749","abstract":"While movement toward the education of students with disabilities in integrated physical education has now become common internationally, it is not without concerns. Notably, scholars have questioned whether instruction in integrated physical education settings provides inclusive experiences for students with disabilities. The purpose of this exploratory study was to explore certified adapted physical educators’ (CAPEs’) perspectives on barriers and facilitators to students with disabilities experiencing inclusion in integrated physical education. A sample of 99 CAPEs (74.7% female) across the United States provided valid responses to an online survey form. Guided by the established two-step coding protocol, two independent reviewers coded the responses to open-ended questions. In total, 460 barriers and 473 facilitators that fell into seven categories were identified. Among these, both teacher-related barriers and facilitators were more commonly reported than other factors, such as environmental and policy barriers/facilitators. As such, it appears that the participants placed onus on ensuring the inclusiveness of integrated physical education classes largely on the shoulders of the teachers. In addition, codes related to programmatic or equipment-related factors were underreported, suggesting that even in integrated physical education classes where adapted equipment (i.e. equipment facilitator) and personnel support (i.e. programmatic facilitator) are available, inclusive experience may not be. These findings suggest inclusiveness of integrated physical education is complex and influenced by numerous factors.","author":[{"dropping-particle":"","family":"Haegele","given":"Justin A.","non-dropping-particle":"","parse-names":false,"suffix":""},{"dropping-particle":"","family":"Wilson","given":"Wesley J.","non-dropping-particle":"","parse-names":false,"suffix":""},{"dropping-particle":"","family":"Zhu","given":"Xihe","non-dropping-particle":"","parse-names":false,"suffix":""},{"dropping-particle":"","family":"Bueche","given":"Justin J.","non-dropping-particle":"","parse-names":false,"suffix":""},{"dropping-particle":"","family":"Brady","given":"Ellie","non-dropping-particle":"","parse-names":false,"suffix":""},{"dropping-particle":"","family":"Li","given":"Chunxiao","non-dropping-particle":"","parse-names":false,"suffix":""}],"container-title":"European Physical Education Review","id":"ITEM-1","issue":"2","issued":{"date-parts":[["2021"]]},"page":"297-311","title":"Barriers and facilitators to inclusion in integrated physical education: Adapted physical educators’ perspectives","type":"article-journal","volume":"27"},"uris":["http://www.mendeley.com/documents/?uuid=21b1132f-81d4-4f9f-ad06-ad58f024af6b"]}],"mendeley":{"formattedCitation":"(Haegele et al., 2021)","plainTextFormattedCitation":"(Haegele et al., 2021)","previouslyFormattedCitation":"(Haegele et al., 2021)"},"properties":{"noteIndex":0},"schema":"https://github.com/citation-style-language/schema/raw/master/csl-citation.json"}</w:instrText>
      </w:r>
      <w:r w:rsidRPr="00160103">
        <w:rPr>
          <w:rFonts w:ascii="Barlow" w:eastAsia="Lustria" w:hAnsi="Barlow" w:cs="Lustria"/>
          <w:sz w:val="24"/>
          <w:szCs w:val="24"/>
        </w:rPr>
        <w:fldChar w:fldCharType="separate"/>
      </w:r>
      <w:r w:rsidRPr="00160103">
        <w:rPr>
          <w:rFonts w:ascii="Barlow" w:eastAsia="Lustria" w:hAnsi="Barlow" w:cs="Lustria"/>
          <w:sz w:val="24"/>
          <w:szCs w:val="24"/>
        </w:rPr>
        <w:t>(Haegele et al., 2021)</w:t>
      </w:r>
      <w:r w:rsidRPr="00160103">
        <w:rPr>
          <w:rFonts w:ascii="Barlow" w:eastAsia="Lustria" w:hAnsi="Barlow" w:cs="Lustria"/>
          <w:sz w:val="24"/>
          <w:szCs w:val="24"/>
        </w:rPr>
        <w:fldChar w:fldCharType="end"/>
      </w:r>
      <w:r w:rsidRPr="00160103">
        <w:rPr>
          <w:rFonts w:ascii="Barlow" w:eastAsia="Lustria" w:hAnsi="Barlow" w:cs="Lustria"/>
          <w:sz w:val="24"/>
          <w:szCs w:val="24"/>
        </w:rPr>
        <w:t xml:space="preserve">. </w:t>
      </w:r>
    </w:p>
    <w:p w14:paraId="7940786E"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The support factor of the principal and school policy of 46% of Physical Education teachers stated that the support from the principal and school policies for the implementation of inclusive learning was in the very high category. The results showed that almost half of the respondents felt a strong commitment from school management, especially the principal, to create a learning environment that was friendly, open, and supportive of diversity. </w:t>
      </w:r>
    </w:p>
    <w:p w14:paraId="39590734"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School principals have an important role in creating an inclusive educational environment. School policies that encourage diversity, such as flexibility in learning methods and the ability to adapt the curriculum to meet the needs of students, will provide greater support to teachers in their efforts to implement learning that engages all students, including students with special needs in Physical Education subjects.</w:t>
      </w:r>
    </w:p>
    <w:p w14:paraId="27761774"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Schools that seek to help students with special needs also show support. Some schools have special assistant teachers (GPK), which shows the school's attention to more individuali</w:t>
      </w:r>
      <w:r w:rsidR="00AB28AB">
        <w:rPr>
          <w:rFonts w:ascii="Barlow" w:eastAsia="Lustria" w:hAnsi="Barlow" w:cs="Lustria"/>
          <w:sz w:val="24"/>
          <w:szCs w:val="24"/>
        </w:rPr>
        <w:t>s</w:t>
      </w:r>
      <w:r w:rsidRPr="00160103">
        <w:rPr>
          <w:rFonts w:ascii="Barlow" w:eastAsia="Lustria" w:hAnsi="Barlow" w:cs="Lustria"/>
          <w:sz w:val="24"/>
          <w:szCs w:val="24"/>
        </w:rPr>
        <w:t>ed service needs.</w:t>
      </w:r>
    </w:p>
    <w:p w14:paraId="786E9481" w14:textId="77777777" w:rsidR="00BE7703" w:rsidRPr="00160103" w:rsidRDefault="00B30CD7" w:rsidP="00160103">
      <w:pPr>
        <w:autoSpaceDE w:val="0"/>
        <w:autoSpaceDN w:val="0"/>
        <w:adjustRightInd w:val="0"/>
        <w:spacing w:after="0"/>
        <w:ind w:firstLine="567"/>
        <w:jc w:val="both"/>
        <w:rPr>
          <w:rFonts w:ascii="Barlow" w:hAnsi="Barlow" w:cs="Tahoma"/>
          <w:bCs/>
          <w:sz w:val="26"/>
          <w:szCs w:val="30"/>
          <w:lang w:val="en-US"/>
        </w:rPr>
      </w:pPr>
      <w:r w:rsidRPr="00160103">
        <w:rPr>
          <w:rFonts w:ascii="Barlow" w:eastAsia="Lustria" w:hAnsi="Barlow" w:cs="Lustria"/>
          <w:sz w:val="24"/>
          <w:szCs w:val="24"/>
        </w:rPr>
        <w:t>Although not evenly distributed, some schools have also begun to adjust their facilities and equipment to encourage students to participate more actively in Physical Education activities. It is very important for the principal to demonstrate a cooperative approach in learning management. Physical Education teachers have the opportunity to speak, share their concerns, and participate in the decision-making process about inclusive learning. This kind of friendly and talking environment is essential to foster teachers' confidence to develop equitable and inclusive learning strategies and to continue to innovate.</w:t>
      </w:r>
    </w:p>
    <w:p w14:paraId="45441120" w14:textId="77777777" w:rsidR="00BE7703" w:rsidRPr="00160103" w:rsidRDefault="00BE7703" w:rsidP="00AB28AB">
      <w:pPr>
        <w:autoSpaceDE w:val="0"/>
        <w:autoSpaceDN w:val="0"/>
        <w:adjustRightInd w:val="0"/>
        <w:spacing w:after="0" w:line="240" w:lineRule="auto"/>
        <w:ind w:firstLine="567"/>
        <w:jc w:val="both"/>
        <w:rPr>
          <w:rFonts w:ascii="Barlow" w:hAnsi="Barlow" w:cs="Tahoma"/>
          <w:bCs/>
          <w:sz w:val="24"/>
          <w:szCs w:val="28"/>
          <w:lang w:val="en-US"/>
        </w:rPr>
      </w:pPr>
    </w:p>
    <w:p w14:paraId="5F51C0A1" w14:textId="77777777" w:rsidR="0052620C" w:rsidRPr="00160103" w:rsidRDefault="0052620C" w:rsidP="00AB28AB">
      <w:pPr>
        <w:autoSpaceDE w:val="0"/>
        <w:autoSpaceDN w:val="0"/>
        <w:adjustRightInd w:val="0"/>
        <w:spacing w:after="0" w:line="240" w:lineRule="auto"/>
        <w:ind w:firstLine="567"/>
        <w:jc w:val="both"/>
        <w:rPr>
          <w:rFonts w:ascii="Barlow" w:hAnsi="Barlow" w:cs="Tahoma"/>
          <w:bCs/>
          <w:sz w:val="24"/>
          <w:szCs w:val="28"/>
          <w:lang w:val="en-US"/>
        </w:rPr>
      </w:pPr>
    </w:p>
    <w:p w14:paraId="5E57CFAE" w14:textId="77777777" w:rsidR="00111933" w:rsidRPr="00160103" w:rsidRDefault="00111933" w:rsidP="00286DB0">
      <w:pPr>
        <w:autoSpaceDE w:val="0"/>
        <w:autoSpaceDN w:val="0"/>
        <w:adjustRightInd w:val="0"/>
        <w:spacing w:after="0" w:line="360" w:lineRule="auto"/>
        <w:jc w:val="both"/>
        <w:rPr>
          <w:rFonts w:ascii="Barlow" w:hAnsi="Barlow" w:cs="Tahoma"/>
          <w:b/>
          <w:sz w:val="26"/>
          <w:szCs w:val="30"/>
          <w:lang w:val="en-US"/>
        </w:rPr>
      </w:pPr>
      <w:r w:rsidRPr="00160103">
        <w:rPr>
          <w:rFonts w:ascii="Barlow" w:hAnsi="Barlow" w:cs="Tahoma"/>
          <w:b/>
          <w:sz w:val="26"/>
          <w:szCs w:val="30"/>
          <w:lang w:val="en-US"/>
        </w:rPr>
        <w:t>CONCLUSION</w:t>
      </w:r>
      <w:r w:rsidR="00E15FC5" w:rsidRPr="00160103">
        <w:rPr>
          <w:rFonts w:ascii="Barlow" w:hAnsi="Barlow" w:cs="Tahoma"/>
          <w:b/>
          <w:sz w:val="26"/>
          <w:szCs w:val="30"/>
          <w:lang w:val="en-US"/>
        </w:rPr>
        <w:t xml:space="preserve"> </w:t>
      </w:r>
    </w:p>
    <w:p w14:paraId="69C73554" w14:textId="77777777" w:rsidR="00B30CD7" w:rsidRPr="00160103" w:rsidRDefault="00B30CD7" w:rsidP="00160103">
      <w:pPr>
        <w:widowControl w:val="0"/>
        <w:spacing w:after="0"/>
        <w:ind w:firstLine="567"/>
        <w:jc w:val="both"/>
        <w:rPr>
          <w:rFonts w:ascii="Barlow" w:eastAsia="Lustria" w:hAnsi="Barlow" w:cs="Lustria"/>
          <w:sz w:val="24"/>
          <w:szCs w:val="24"/>
        </w:rPr>
      </w:pPr>
      <w:r w:rsidRPr="00160103">
        <w:rPr>
          <w:rFonts w:ascii="Barlow" w:eastAsia="Lustria" w:hAnsi="Barlow" w:cs="Lustria"/>
          <w:sz w:val="24"/>
          <w:szCs w:val="24"/>
        </w:rPr>
        <w:t xml:space="preserve">To the extent that Physical Education teachers know about inclusive learning in Martapura District Elementary School, it can be concluded that teachers' views are still diverse and may not be optimal. The results of the analysis show that most Physical Education teachers still have a very low understanding. In addition, teachers are still not ready to manage inclusive learning. This study also found that there is strong support from several school principals in pursuing inclusive learning, including in the form of policies that support student diversity, teacher training, and the provision of basic facilities for children with special needs. </w:t>
      </w:r>
    </w:p>
    <w:p w14:paraId="1A55BFAB" w14:textId="77777777" w:rsidR="0052620C" w:rsidRPr="00160103" w:rsidRDefault="00B30CD7" w:rsidP="00160103">
      <w:pPr>
        <w:autoSpaceDE w:val="0"/>
        <w:autoSpaceDN w:val="0"/>
        <w:adjustRightInd w:val="0"/>
        <w:spacing w:after="0"/>
        <w:ind w:firstLine="567"/>
        <w:jc w:val="both"/>
        <w:rPr>
          <w:rFonts w:ascii="Barlow" w:hAnsi="Barlow" w:cs="Tahoma"/>
          <w:sz w:val="26"/>
          <w:szCs w:val="30"/>
          <w:lang w:val="en-US"/>
        </w:rPr>
      </w:pPr>
      <w:r w:rsidRPr="00160103">
        <w:rPr>
          <w:rFonts w:ascii="Barlow" w:eastAsia="Lustria" w:hAnsi="Barlow" w:cs="Lustria"/>
          <w:sz w:val="24"/>
          <w:szCs w:val="24"/>
        </w:rPr>
        <w:t xml:space="preserve">It is suggested that Physical Education teachers need to improve their understanding of inclusive education through training, seminars, and workshops, </w:t>
      </w:r>
      <w:r w:rsidRPr="00160103">
        <w:rPr>
          <w:rFonts w:ascii="Barlow" w:eastAsia="Lustria" w:hAnsi="Barlow" w:cs="Lustria"/>
          <w:sz w:val="24"/>
          <w:szCs w:val="24"/>
        </w:rPr>
        <w:lastRenderedPageBreak/>
        <w:t>especially in the context of physical learning. They are also expected to be able to adjust learning plans and methods to suit the needs of all students, including children with special needs. Collaboration with classroom teachers, special assistant teachers (GPK). Policymakers, both at the school level and the education office, need to provide systematic support, including the provision of infrastructure, inclusive policies, periodic training, and the placement of special assistant teachers. This is important to strengthen the implementation of Physical Education learning that is fair and equal for all students. It is hoped that Indonesian elementary schools can implement inclusion education well. Researchers are further advised to expand the scope of respondents and research locations, as well as use a mixed approach (quantitative and qualitative) to gain a more comprehensive understanding. The research can also be focused on other levels of education and evaluate the effectiveness of the training that has been provided to Physical Education teachers in implementing inclusive learning.</w:t>
      </w:r>
    </w:p>
    <w:p w14:paraId="66A6C907" w14:textId="77777777" w:rsidR="0052620C" w:rsidRPr="00160103" w:rsidRDefault="0052620C" w:rsidP="0052620C">
      <w:pPr>
        <w:autoSpaceDE w:val="0"/>
        <w:autoSpaceDN w:val="0"/>
        <w:adjustRightInd w:val="0"/>
        <w:spacing w:after="0"/>
        <w:ind w:firstLine="567"/>
        <w:jc w:val="both"/>
        <w:rPr>
          <w:rFonts w:ascii="Barlow" w:hAnsi="Barlow" w:cs="Tahoma"/>
          <w:sz w:val="24"/>
          <w:szCs w:val="28"/>
          <w:lang w:val="en-US"/>
        </w:rPr>
      </w:pPr>
    </w:p>
    <w:p w14:paraId="277AFD71" w14:textId="77777777" w:rsidR="0015721D" w:rsidRPr="00160103" w:rsidRDefault="0015721D" w:rsidP="0052620C">
      <w:pPr>
        <w:autoSpaceDE w:val="0"/>
        <w:autoSpaceDN w:val="0"/>
        <w:adjustRightInd w:val="0"/>
        <w:spacing w:after="0"/>
        <w:ind w:firstLine="567"/>
        <w:jc w:val="both"/>
        <w:rPr>
          <w:rFonts w:ascii="Barlow" w:hAnsi="Barlow" w:cs="Tahoma"/>
          <w:sz w:val="24"/>
          <w:szCs w:val="28"/>
          <w:lang w:val="en-US"/>
        </w:rPr>
      </w:pPr>
    </w:p>
    <w:p w14:paraId="3459A11B" w14:textId="77777777" w:rsidR="00111933" w:rsidRPr="00160103" w:rsidRDefault="00111933" w:rsidP="005F6DEC">
      <w:pPr>
        <w:tabs>
          <w:tab w:val="left" w:pos="2580"/>
          <w:tab w:val="center" w:pos="3969"/>
          <w:tab w:val="left" w:pos="6345"/>
        </w:tabs>
        <w:spacing w:after="0"/>
        <w:rPr>
          <w:rFonts w:ascii="Barlow" w:hAnsi="Barlow" w:cs="Tahoma"/>
          <w:sz w:val="26"/>
          <w:szCs w:val="30"/>
          <w:shd w:val="clear" w:color="auto" w:fill="FFFFFF"/>
          <w:lang w:val="en-US"/>
        </w:rPr>
      </w:pPr>
      <w:r w:rsidRPr="00160103">
        <w:rPr>
          <w:rFonts w:ascii="Barlow" w:hAnsi="Barlow" w:cs="Tahoma"/>
          <w:b/>
          <w:sz w:val="26"/>
          <w:szCs w:val="30"/>
        </w:rPr>
        <w:t>REFEREN</w:t>
      </w:r>
      <w:r w:rsidRPr="00160103">
        <w:rPr>
          <w:rFonts w:ascii="Barlow" w:hAnsi="Barlow" w:cs="Tahoma"/>
          <w:b/>
          <w:sz w:val="26"/>
          <w:szCs w:val="30"/>
          <w:lang w:val="en-US"/>
        </w:rPr>
        <w:t>CES</w:t>
      </w:r>
    </w:p>
    <w:p w14:paraId="6D866677" w14:textId="77777777" w:rsidR="00483CFC" w:rsidRPr="00AB28AB" w:rsidRDefault="00483CFC" w:rsidP="001B52A6">
      <w:pPr>
        <w:widowControl w:val="0"/>
        <w:autoSpaceDE w:val="0"/>
        <w:autoSpaceDN w:val="0"/>
        <w:adjustRightInd w:val="0"/>
        <w:spacing w:after="120" w:line="240" w:lineRule="auto"/>
        <w:ind w:left="567" w:hanging="567"/>
        <w:jc w:val="both"/>
        <w:rPr>
          <w:rFonts w:ascii="Barlow" w:hAnsi="Barlow"/>
          <w:spacing w:val="-6"/>
          <w:sz w:val="24"/>
          <w:szCs w:val="24"/>
        </w:rPr>
      </w:pPr>
      <w:r w:rsidRPr="00AB28AB">
        <w:rPr>
          <w:rFonts w:ascii="Barlow" w:hAnsi="Barlow"/>
          <w:spacing w:val="-6"/>
          <w:sz w:val="24"/>
          <w:szCs w:val="24"/>
        </w:rPr>
        <w:t xml:space="preserve">Ainscow, M. (2005). Developing inclusive education systems: what are the levers for change? </w:t>
      </w:r>
      <w:r w:rsidRPr="00AB28AB">
        <w:rPr>
          <w:rFonts w:ascii="Barlow" w:hAnsi="Barlow"/>
          <w:i/>
          <w:iCs/>
          <w:spacing w:val="-6"/>
          <w:sz w:val="24"/>
          <w:szCs w:val="24"/>
        </w:rPr>
        <w:t>Journal of Educational Change</w:t>
      </w:r>
      <w:r w:rsidRPr="00AB28AB">
        <w:rPr>
          <w:rFonts w:ascii="Barlow" w:hAnsi="Barlow"/>
          <w:spacing w:val="-6"/>
          <w:sz w:val="24"/>
          <w:szCs w:val="24"/>
        </w:rPr>
        <w:t xml:space="preserve">, </w:t>
      </w:r>
      <w:r w:rsidRPr="00AB28AB">
        <w:rPr>
          <w:rFonts w:ascii="Barlow" w:hAnsi="Barlow"/>
          <w:i/>
          <w:iCs/>
          <w:spacing w:val="-6"/>
          <w:sz w:val="24"/>
          <w:szCs w:val="24"/>
        </w:rPr>
        <w:t>6</w:t>
      </w:r>
      <w:r w:rsidRPr="00AB28AB">
        <w:rPr>
          <w:rFonts w:ascii="Barlow" w:hAnsi="Barlow"/>
          <w:spacing w:val="-6"/>
          <w:sz w:val="24"/>
          <w:szCs w:val="24"/>
        </w:rPr>
        <w:t xml:space="preserve">(2), 109–124. </w:t>
      </w:r>
      <w:hyperlink r:id="rId12" w:history="1">
        <w:r w:rsidRPr="00AB28AB">
          <w:rPr>
            <w:rStyle w:val="Hyperlink"/>
            <w:rFonts w:ascii="Barlow" w:hAnsi="Barlow"/>
            <w:spacing w:val="-6"/>
            <w:sz w:val="24"/>
            <w:szCs w:val="24"/>
          </w:rPr>
          <w:t>https://doi.org/10.1007/s10833-005-1298-4</w:t>
        </w:r>
      </w:hyperlink>
    </w:p>
    <w:p w14:paraId="5815E561"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Ainscow, M., &amp; Miles, S. (2008). Making education for all inclusive: Where next? Prospects, 38(1), 15–34. </w:t>
      </w:r>
      <w:hyperlink r:id="rId13" w:history="1">
        <w:r w:rsidRPr="00483CFC">
          <w:rPr>
            <w:rStyle w:val="Hyperlink"/>
            <w:rFonts w:ascii="Barlow" w:hAnsi="Barlow"/>
            <w:sz w:val="24"/>
            <w:szCs w:val="24"/>
          </w:rPr>
          <w:t>https://doi.org/10.1007/s11125-008-9055-0</w:t>
        </w:r>
      </w:hyperlink>
    </w:p>
    <w:p w14:paraId="5B0DA7B5"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Amiruddin, M. Z., Widihastrini, F., &amp; Bektiningsih, K. (2021). Pelayanan Pendidikan Bagi Anak Berkesulitan Belajar Di Sekolah Inklusi. </w:t>
      </w:r>
      <w:r w:rsidRPr="00483CFC">
        <w:rPr>
          <w:rFonts w:ascii="Barlow" w:hAnsi="Barlow"/>
          <w:i/>
          <w:iCs/>
          <w:sz w:val="24"/>
          <w:szCs w:val="24"/>
        </w:rPr>
        <w:t>Prosiding Penelitian Pendidikan Dan Pengabdian.</w:t>
      </w:r>
      <w:r w:rsidRPr="00483CFC">
        <w:rPr>
          <w:rFonts w:ascii="Barlow" w:hAnsi="Barlow"/>
          <w:sz w:val="24"/>
          <w:szCs w:val="24"/>
        </w:rPr>
        <w:t>, 1223–1236.</w:t>
      </w:r>
    </w:p>
    <w:p w14:paraId="35E7B30E"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Ani, J., Lumanauw, B., &amp; Tampenawas, J. L. A. (2021). Pengaruh Citra Merek, Promosi Dan Kualitas Layanan Terhadap Keputusan Pembelian Konsumen Pada E-Commerce Tokopedia Di Kota Manado</w:t>
      </w:r>
      <w:r w:rsidR="00AB28AB">
        <w:rPr>
          <w:rFonts w:ascii="Barlow" w:hAnsi="Barlow"/>
          <w:sz w:val="24"/>
          <w:szCs w:val="24"/>
        </w:rPr>
        <w:t>.</w:t>
      </w:r>
      <w:r w:rsidRPr="00483CFC">
        <w:rPr>
          <w:rFonts w:ascii="Barlow" w:hAnsi="Barlow"/>
          <w:sz w:val="24"/>
          <w:szCs w:val="24"/>
        </w:rPr>
        <w:t xml:space="preserve"> </w:t>
      </w:r>
      <w:r w:rsidR="00AB28AB">
        <w:rPr>
          <w:rFonts w:ascii="Barlow" w:hAnsi="Barlow"/>
          <w:sz w:val="24"/>
          <w:szCs w:val="24"/>
        </w:rPr>
        <w:t>T</w:t>
      </w:r>
      <w:r w:rsidRPr="00483CFC">
        <w:rPr>
          <w:rFonts w:ascii="Barlow" w:hAnsi="Barlow"/>
          <w:sz w:val="24"/>
          <w:szCs w:val="24"/>
        </w:rPr>
        <w:t xml:space="preserve">he Influence of Brand Image, Promotion and Service Quality on Consumer Purchase Decisions on Tokopedia E-Commerce in Manado. </w:t>
      </w:r>
      <w:r w:rsidRPr="00483CFC">
        <w:rPr>
          <w:rFonts w:ascii="Barlow" w:hAnsi="Barlow"/>
          <w:i/>
          <w:iCs/>
          <w:sz w:val="24"/>
          <w:szCs w:val="24"/>
        </w:rPr>
        <w:t>663 Jurnal EMBA</w:t>
      </w:r>
      <w:r w:rsidRPr="00483CFC">
        <w:rPr>
          <w:rFonts w:ascii="Barlow" w:hAnsi="Barlow"/>
          <w:sz w:val="24"/>
          <w:szCs w:val="24"/>
        </w:rPr>
        <w:t xml:space="preserve">, </w:t>
      </w:r>
      <w:r w:rsidRPr="00483CFC">
        <w:rPr>
          <w:rFonts w:ascii="Barlow" w:hAnsi="Barlow"/>
          <w:i/>
          <w:iCs/>
          <w:sz w:val="24"/>
          <w:szCs w:val="24"/>
        </w:rPr>
        <w:t>9</w:t>
      </w:r>
      <w:r w:rsidRPr="00483CFC">
        <w:rPr>
          <w:rFonts w:ascii="Barlow" w:hAnsi="Barlow"/>
          <w:sz w:val="24"/>
          <w:szCs w:val="24"/>
        </w:rPr>
        <w:t>(2), 663–674.</w:t>
      </w:r>
    </w:p>
    <w:p w14:paraId="14CCF3EF"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Arifin, M., &amp; Sudrajat, A. (2020). Implementation of an inclusive curriculum in physical education. Journal of Physical Education and Sport Sciences, 10(3), 211–219.</w:t>
      </w:r>
    </w:p>
    <w:p w14:paraId="15B6D51E"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Arriani, F., D. (2022). Pendidikan Inklusif. </w:t>
      </w:r>
      <w:r w:rsidRPr="00483CFC">
        <w:rPr>
          <w:rFonts w:ascii="Barlow" w:hAnsi="Barlow"/>
          <w:i/>
          <w:iCs/>
          <w:sz w:val="24"/>
          <w:szCs w:val="24"/>
        </w:rPr>
        <w:t>Panduan Pelaksanaan Pendidikan Inklusif</w:t>
      </w:r>
      <w:r w:rsidRPr="00483CFC">
        <w:rPr>
          <w:rFonts w:ascii="Barlow" w:hAnsi="Barlow"/>
          <w:sz w:val="24"/>
          <w:szCs w:val="24"/>
        </w:rPr>
        <w:t>.</w:t>
      </w:r>
    </w:p>
    <w:p w14:paraId="221AA9B4"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Asrulla, Risnita, Jailani, M. S., &amp; Jeka, F. (2023). Populasi dan Sampling (Kuantitatif), Serta Pemilihan Informan Kunci (Kualitatif) dalam Pendekatan Praktis. </w:t>
      </w:r>
      <w:r w:rsidRPr="00483CFC">
        <w:rPr>
          <w:rFonts w:ascii="Barlow" w:hAnsi="Barlow"/>
          <w:i/>
          <w:iCs/>
          <w:sz w:val="24"/>
          <w:szCs w:val="24"/>
        </w:rPr>
        <w:t>Jurnal Pendidikan Tambusai</w:t>
      </w:r>
      <w:r w:rsidRPr="00483CFC">
        <w:rPr>
          <w:rFonts w:ascii="Barlow" w:hAnsi="Barlow"/>
          <w:sz w:val="24"/>
          <w:szCs w:val="24"/>
        </w:rPr>
        <w:t xml:space="preserve">, </w:t>
      </w:r>
      <w:r w:rsidRPr="00483CFC">
        <w:rPr>
          <w:rFonts w:ascii="Barlow" w:hAnsi="Barlow"/>
          <w:i/>
          <w:iCs/>
          <w:sz w:val="24"/>
          <w:szCs w:val="24"/>
        </w:rPr>
        <w:t>7</w:t>
      </w:r>
      <w:r w:rsidRPr="00483CFC">
        <w:rPr>
          <w:rFonts w:ascii="Barlow" w:hAnsi="Barlow"/>
          <w:sz w:val="24"/>
          <w:szCs w:val="24"/>
        </w:rPr>
        <w:t>(3), 26320–26332.</w:t>
      </w:r>
    </w:p>
    <w:p w14:paraId="73ED3501"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Basuki, I., &amp; Hidayat, R. (2019). Adaptation strategies of PE teachers for students with disabilities. Jurnal Ilmu Keolahragaan, 18(2), 90–99.</w:t>
      </w:r>
    </w:p>
    <w:p w14:paraId="6E1766AA"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Block, M. E., &amp; Obrusnikova, I. (2007). Inclusion in physical education: A review of the literature from 1995–2005. Adapted Physical Activity Quarterly, 24(2), 103–124. </w:t>
      </w:r>
      <w:hyperlink r:id="rId14" w:history="1">
        <w:r w:rsidRPr="00483CFC">
          <w:rPr>
            <w:rStyle w:val="Hyperlink"/>
            <w:rFonts w:ascii="Barlow" w:hAnsi="Barlow"/>
            <w:sz w:val="24"/>
            <w:szCs w:val="24"/>
          </w:rPr>
          <w:t>https://doi.org/10.1123/apaq.24.2.103</w:t>
        </w:r>
      </w:hyperlink>
    </w:p>
    <w:p w14:paraId="12CA78FA"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Block, M. E., Taliaferro, A., &amp; Moran, T. (2013). Physical activity and youth with disabilities: Barriers and supports. Preventing Chronic Disease, 10, E107. </w:t>
      </w:r>
      <w:hyperlink r:id="rId15" w:history="1">
        <w:r w:rsidRPr="00483CFC">
          <w:rPr>
            <w:rStyle w:val="Hyperlink"/>
            <w:rFonts w:ascii="Barlow" w:hAnsi="Barlow"/>
            <w:sz w:val="24"/>
            <w:szCs w:val="24"/>
          </w:rPr>
          <w:t>https://doi.org/10.5888/pcd10.120275</w:t>
        </w:r>
      </w:hyperlink>
    </w:p>
    <w:p w14:paraId="7C8FD3FA"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Borges, S. (2023). Perception of Physical Education Teachers about the Inclusion of Students with Special Needs. </w:t>
      </w:r>
      <w:r w:rsidRPr="00483CFC">
        <w:rPr>
          <w:rFonts w:ascii="Barlow" w:hAnsi="Barlow"/>
          <w:i/>
          <w:iCs/>
          <w:sz w:val="24"/>
          <w:szCs w:val="24"/>
        </w:rPr>
        <w:t>Global Journal of Human-Social Science</w:t>
      </w:r>
      <w:r w:rsidRPr="00483CFC">
        <w:rPr>
          <w:rFonts w:ascii="Barlow" w:hAnsi="Barlow"/>
          <w:sz w:val="24"/>
          <w:szCs w:val="24"/>
        </w:rPr>
        <w:t xml:space="preserve">, </w:t>
      </w:r>
      <w:r w:rsidRPr="00483CFC">
        <w:rPr>
          <w:rFonts w:ascii="Barlow" w:hAnsi="Barlow"/>
          <w:i/>
          <w:iCs/>
          <w:sz w:val="24"/>
          <w:szCs w:val="24"/>
        </w:rPr>
        <w:t>23</w:t>
      </w:r>
      <w:r w:rsidRPr="00483CFC">
        <w:rPr>
          <w:rFonts w:ascii="Barlow" w:hAnsi="Barlow"/>
          <w:sz w:val="24"/>
          <w:szCs w:val="24"/>
        </w:rPr>
        <w:t xml:space="preserve">(11), 71–75. </w:t>
      </w:r>
      <w:hyperlink r:id="rId16" w:history="1">
        <w:r w:rsidRPr="00483CFC">
          <w:rPr>
            <w:rStyle w:val="Hyperlink"/>
            <w:rFonts w:ascii="Barlow" w:hAnsi="Barlow"/>
            <w:sz w:val="24"/>
            <w:szCs w:val="24"/>
          </w:rPr>
          <w:t>https://doi.org/10.34257/gjhssgvol23is11pg71</w:t>
        </w:r>
      </w:hyperlink>
    </w:p>
    <w:p w14:paraId="34C410C3"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Grenier, M. (2011). Examining differences in perceptions of inclusion between physical education teachers and adapted physical education specialists. Remedial and Special Education, 32(4), 245–254. </w:t>
      </w:r>
      <w:hyperlink r:id="rId17" w:history="1">
        <w:r w:rsidRPr="00483CFC">
          <w:rPr>
            <w:rStyle w:val="Hyperlink"/>
            <w:rFonts w:ascii="Barlow" w:hAnsi="Barlow"/>
            <w:sz w:val="24"/>
            <w:szCs w:val="24"/>
          </w:rPr>
          <w:t>https://doi.org/10.1177/0741932510361247</w:t>
        </w:r>
      </w:hyperlink>
    </w:p>
    <w:p w14:paraId="60C3D4E4"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Haegele, J. A., Wilson, W. J., Zhu, X., Bueche, J. J., Brady, E., &amp; Li, C. (2021). Barriers and facilitators to inclusion in integrated physical education: Adapted physical educators’ perspectives. </w:t>
      </w:r>
      <w:r w:rsidRPr="00483CFC">
        <w:rPr>
          <w:rFonts w:ascii="Barlow" w:hAnsi="Barlow"/>
          <w:i/>
          <w:iCs/>
          <w:sz w:val="24"/>
          <w:szCs w:val="24"/>
        </w:rPr>
        <w:t>European Physical Education Review</w:t>
      </w:r>
      <w:r w:rsidRPr="00483CFC">
        <w:rPr>
          <w:rFonts w:ascii="Barlow" w:hAnsi="Barlow"/>
          <w:sz w:val="24"/>
          <w:szCs w:val="24"/>
        </w:rPr>
        <w:t xml:space="preserve">, </w:t>
      </w:r>
      <w:r w:rsidRPr="00483CFC">
        <w:rPr>
          <w:rFonts w:ascii="Barlow" w:hAnsi="Barlow"/>
          <w:i/>
          <w:iCs/>
          <w:sz w:val="24"/>
          <w:szCs w:val="24"/>
        </w:rPr>
        <w:t>27</w:t>
      </w:r>
      <w:r w:rsidRPr="00483CFC">
        <w:rPr>
          <w:rFonts w:ascii="Barlow" w:hAnsi="Barlow"/>
          <w:sz w:val="24"/>
          <w:szCs w:val="24"/>
        </w:rPr>
        <w:t xml:space="preserve">(2), 297–311. </w:t>
      </w:r>
      <w:hyperlink r:id="rId18" w:history="1">
        <w:r w:rsidRPr="00483CFC">
          <w:rPr>
            <w:rStyle w:val="Hyperlink"/>
            <w:rFonts w:ascii="Barlow" w:hAnsi="Barlow"/>
            <w:sz w:val="24"/>
            <w:szCs w:val="24"/>
          </w:rPr>
          <w:t>https://doi.org/10.1177/1356336X20944429</w:t>
        </w:r>
      </w:hyperlink>
    </w:p>
    <w:p w14:paraId="53CB16AE"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Handayani, L., &amp; Rizal, M. (2020). Attitudes of elementary teachers toward inclusive education: A case study in urban Jakarta. Indonesian Journal of Educational Research, 8(2), 110–119.</w:t>
      </w:r>
    </w:p>
    <w:p w14:paraId="3131E19C"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Haffyandi, R. A., Kahri, M., &amp; Ganeswara, R. O. (2025). Online physical education (olpe) and its influence on high school students’ life skills. </w:t>
      </w:r>
      <w:r w:rsidRPr="00483CFC">
        <w:rPr>
          <w:rFonts w:ascii="Barlow" w:hAnsi="Barlow"/>
          <w:i/>
          <w:iCs/>
          <w:sz w:val="24"/>
          <w:szCs w:val="24"/>
        </w:rPr>
        <w:t>Multilateral: Jurnal Pendidikan Jasmani Dan Olahraga</w:t>
      </w:r>
      <w:r w:rsidRPr="00483CFC">
        <w:rPr>
          <w:rFonts w:ascii="Barlow" w:hAnsi="Barlow"/>
          <w:sz w:val="24"/>
          <w:szCs w:val="24"/>
        </w:rPr>
        <w:t>, 24(1), 18–31.</w:t>
      </w:r>
    </w:p>
    <w:p w14:paraId="61A8F3B0"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Healy, S., Msetfi, R., &amp; Gallagher, S. (2013). Teachers' attitudes toward teaching students with special educational needs in mainstream secondary schools: A large-scale survey in Ireland. European Journal of Special Needs Education, 28(3), 229–243.</w:t>
      </w:r>
    </w:p>
    <w:p w14:paraId="299994DC" w14:textId="77777777" w:rsidR="00483CFC" w:rsidRPr="00AB28AB" w:rsidRDefault="00483CFC" w:rsidP="001B52A6">
      <w:pPr>
        <w:widowControl w:val="0"/>
        <w:autoSpaceDE w:val="0"/>
        <w:autoSpaceDN w:val="0"/>
        <w:adjustRightInd w:val="0"/>
        <w:spacing w:after="120" w:line="240" w:lineRule="auto"/>
        <w:ind w:left="567" w:hanging="567"/>
        <w:jc w:val="both"/>
        <w:rPr>
          <w:rFonts w:ascii="Barlow" w:hAnsi="Barlow"/>
          <w:spacing w:val="-6"/>
          <w:sz w:val="24"/>
          <w:szCs w:val="24"/>
        </w:rPr>
      </w:pPr>
      <w:r w:rsidRPr="00AB28AB">
        <w:rPr>
          <w:rFonts w:ascii="Barlow" w:hAnsi="Barlow"/>
          <w:spacing w:val="-6"/>
          <w:sz w:val="24"/>
          <w:szCs w:val="24"/>
        </w:rPr>
        <w:t xml:space="preserve">Krismayadi, I. W., Sofyan, S., &amp; Rahmadi, R. (2021). Kriteria Penilaian Guru Pendidikan Jasmani Aspek Psikomotor Pada Sekolah Dasar Mitra Jpok Fkip Ulm. </w:t>
      </w:r>
      <w:r w:rsidRPr="00AB28AB">
        <w:rPr>
          <w:rFonts w:ascii="Barlow" w:hAnsi="Barlow"/>
          <w:i/>
          <w:iCs/>
          <w:spacing w:val="-6"/>
          <w:sz w:val="24"/>
          <w:szCs w:val="24"/>
        </w:rPr>
        <w:t>STABILITAS: Jurnal Pendidikan Jasmani Dan Olahraga</w:t>
      </w:r>
      <w:r w:rsidRPr="00AB28AB">
        <w:rPr>
          <w:rFonts w:ascii="Barlow" w:hAnsi="Barlow"/>
          <w:spacing w:val="-6"/>
          <w:sz w:val="24"/>
          <w:szCs w:val="24"/>
        </w:rPr>
        <w:t xml:space="preserve">, </w:t>
      </w:r>
      <w:r w:rsidRPr="00AB28AB">
        <w:rPr>
          <w:rFonts w:ascii="Barlow" w:hAnsi="Barlow"/>
          <w:i/>
          <w:iCs/>
          <w:spacing w:val="-6"/>
          <w:sz w:val="24"/>
          <w:szCs w:val="24"/>
        </w:rPr>
        <w:t>2</w:t>
      </w:r>
      <w:r w:rsidRPr="00AB28AB">
        <w:rPr>
          <w:rFonts w:ascii="Barlow" w:hAnsi="Barlow"/>
          <w:spacing w:val="-6"/>
          <w:sz w:val="24"/>
          <w:szCs w:val="24"/>
        </w:rPr>
        <w:t xml:space="preserve">(1), 12–17. </w:t>
      </w:r>
      <w:hyperlink r:id="rId19" w:history="1">
        <w:r w:rsidRPr="00AB28AB">
          <w:rPr>
            <w:rStyle w:val="Hyperlink"/>
            <w:rFonts w:ascii="Barlow" w:hAnsi="Barlow"/>
            <w:spacing w:val="-6"/>
            <w:sz w:val="24"/>
            <w:szCs w:val="24"/>
          </w:rPr>
          <w:t>https://doi.org/10.20527/mpj.v2i1.1048</w:t>
        </w:r>
      </w:hyperlink>
    </w:p>
    <w:p w14:paraId="03F0814F"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Kurniawati, D., &amp; Judisseno, R. K. (2022). Penggunaan Skala Likert Untuk Menganalisa Efektivitas Registrasi Stakeholder Meeting: Exhibition Industry 2020. </w:t>
      </w:r>
      <w:r w:rsidRPr="00483CFC">
        <w:rPr>
          <w:rFonts w:ascii="Barlow" w:hAnsi="Barlow"/>
          <w:i/>
          <w:iCs/>
          <w:sz w:val="24"/>
          <w:szCs w:val="24"/>
        </w:rPr>
        <w:t xml:space="preserve">Seminar Nasional Riset Terapan Administrasi Bisnis </w:t>
      </w:r>
      <w:r w:rsidRPr="00483CFC">
        <w:rPr>
          <w:rFonts w:ascii="Barlow" w:hAnsi="Barlow"/>
          <w:sz w:val="24"/>
          <w:szCs w:val="24"/>
        </w:rPr>
        <w:t>, 142–152.</w:t>
      </w:r>
    </w:p>
    <w:p w14:paraId="3C9D6ED1"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Kurniawan, R., Sunaryo, S., &amp; Nisa, S. (2021). The effectiveness of inclusive training programs for PE teachers. Jurnal Olahraga dan Prestasi, 17(1), 45–55.</w:t>
      </w:r>
    </w:p>
    <w:p w14:paraId="7EB12DD3"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Lieberman, L. J., Lepore, M. P., &amp; Houston-Wilson, C. (2017). Strategies for Inclusion: A Handbook for Physical Educators. Human Kinetics.</w:t>
      </w:r>
    </w:p>
    <w:p w14:paraId="6E37F90D"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Lubna,  dkk. (2021). </w:t>
      </w:r>
      <w:r w:rsidRPr="00483CFC">
        <w:rPr>
          <w:rFonts w:ascii="Barlow" w:hAnsi="Barlow"/>
          <w:i/>
          <w:iCs/>
          <w:sz w:val="24"/>
          <w:szCs w:val="24"/>
        </w:rPr>
        <w:t>Buku Ajar Pendidikan Inklusi</w:t>
      </w:r>
      <w:r w:rsidRPr="00483CFC">
        <w:rPr>
          <w:rFonts w:ascii="Barlow" w:hAnsi="Barlow"/>
          <w:sz w:val="24"/>
          <w:szCs w:val="24"/>
        </w:rPr>
        <w:t>.</w:t>
      </w:r>
    </w:p>
    <w:p w14:paraId="745A5C3C"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Makbul, M. (2021). </w:t>
      </w:r>
      <w:r w:rsidRPr="00483CFC">
        <w:rPr>
          <w:rFonts w:ascii="Barlow" w:hAnsi="Barlow"/>
          <w:i/>
          <w:iCs/>
          <w:sz w:val="24"/>
          <w:szCs w:val="24"/>
        </w:rPr>
        <w:t>Metode Pengumpulan Data dan Instrumen Penelitian</w:t>
      </w:r>
      <w:r w:rsidRPr="00483CFC">
        <w:rPr>
          <w:rFonts w:ascii="Barlow" w:hAnsi="Barlow"/>
          <w:sz w:val="24"/>
          <w:szCs w:val="24"/>
        </w:rPr>
        <w:t xml:space="preserve">. </w:t>
      </w:r>
      <w:r w:rsidRPr="00483CFC">
        <w:rPr>
          <w:rFonts w:ascii="Barlow" w:hAnsi="Barlow"/>
          <w:i/>
          <w:iCs/>
          <w:sz w:val="24"/>
          <w:szCs w:val="24"/>
        </w:rPr>
        <w:t>75</w:t>
      </w:r>
      <w:r w:rsidRPr="00483CFC">
        <w:rPr>
          <w:rFonts w:ascii="Barlow" w:hAnsi="Barlow"/>
          <w:sz w:val="24"/>
          <w:szCs w:val="24"/>
        </w:rPr>
        <w:t xml:space="preserve">(17), 399–405. </w:t>
      </w:r>
      <w:hyperlink r:id="rId20" w:history="1">
        <w:r w:rsidRPr="00483CFC">
          <w:rPr>
            <w:rStyle w:val="Hyperlink"/>
            <w:rFonts w:ascii="Barlow" w:hAnsi="Barlow"/>
            <w:sz w:val="24"/>
            <w:szCs w:val="24"/>
          </w:rPr>
          <w:t>https://doi.org/https://doi.org/10.31219/osf.io/svu73</w:t>
        </w:r>
      </w:hyperlink>
    </w:p>
    <w:p w14:paraId="49915505"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Morley, D., Bailey, R., Tan, J., &amp; Cooke, B. (2005). Inclusive physical education: Teachers’ views of including pupils with special educational needs and/or disabilities in physical education. European Physical Education Review, 11(1), 84–107.</w:t>
      </w:r>
    </w:p>
    <w:p w14:paraId="677777F5"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Mutia, M., Warni, H., &amp; Sarmidi, S. (2019). Peran Guru Pendidikan Jasmani Dalam Menanamkan Karakter Keapada Peserta Didik Di Sd Negeri Atu-Atu Kecamatan Pelaihari Kabupaten Tanah Laut. </w:t>
      </w:r>
      <w:r w:rsidRPr="00483CFC">
        <w:rPr>
          <w:rFonts w:ascii="Barlow" w:hAnsi="Barlow"/>
          <w:i/>
          <w:iCs/>
          <w:sz w:val="24"/>
          <w:szCs w:val="24"/>
        </w:rPr>
        <w:t>Multilateral Jurnal Pendidikan Jasmani Dan Olahraga</w:t>
      </w:r>
      <w:r w:rsidRPr="00483CFC">
        <w:rPr>
          <w:rFonts w:ascii="Barlow" w:hAnsi="Barlow"/>
          <w:sz w:val="24"/>
          <w:szCs w:val="24"/>
        </w:rPr>
        <w:t xml:space="preserve">, </w:t>
      </w:r>
      <w:r w:rsidRPr="00483CFC">
        <w:rPr>
          <w:rFonts w:ascii="Barlow" w:hAnsi="Barlow"/>
          <w:i/>
          <w:iCs/>
          <w:sz w:val="24"/>
          <w:szCs w:val="24"/>
        </w:rPr>
        <w:t>18</w:t>
      </w:r>
      <w:r w:rsidRPr="00483CFC">
        <w:rPr>
          <w:rFonts w:ascii="Barlow" w:hAnsi="Barlow"/>
          <w:sz w:val="24"/>
          <w:szCs w:val="24"/>
        </w:rPr>
        <w:t xml:space="preserve">(2), 120–125. </w:t>
      </w:r>
      <w:hyperlink r:id="rId21" w:history="1">
        <w:r w:rsidRPr="00483CFC">
          <w:rPr>
            <w:rStyle w:val="Hyperlink"/>
            <w:rFonts w:ascii="Barlow" w:hAnsi="Barlow"/>
            <w:sz w:val="24"/>
            <w:szCs w:val="24"/>
          </w:rPr>
          <w:t>https://doi.org/10.20527/multilateral.v18i2.7623</w:t>
        </w:r>
      </w:hyperlink>
    </w:p>
    <w:p w14:paraId="6D41D55B"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Putri, E. A., Subagya, Y., &amp; Ramli, M. (2022). Implementation of inclusive education in elementary schools: Challenges and opportunities. Journal of Education and </w:t>
      </w:r>
      <w:r w:rsidRPr="00483CFC">
        <w:rPr>
          <w:rFonts w:ascii="Barlow" w:hAnsi="Barlow"/>
          <w:sz w:val="24"/>
          <w:szCs w:val="24"/>
        </w:rPr>
        <w:lastRenderedPageBreak/>
        <w:t>Learning, 16(1), 33–42.</w:t>
      </w:r>
    </w:p>
    <w:p w14:paraId="11A2FEB8"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Qi, J., &amp; Ha, A. S. (2012). Inclusion in physical education: A review of literature. International Journal of Disability, Development and Education, 59(3), 257–281.</w:t>
      </w:r>
    </w:p>
    <w:p w14:paraId="351299A8"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Rojo-Ramos, J., Manzano-Redondo, F., Adsuar, J. C., Acevedo-Duque, Á., Gomez-Paniagua, S., &amp; Barrios-Fernandez, S. (2022). Spanish Physical Education Teachers’ Perceptions about Their Preparation for Inclusive Education. </w:t>
      </w:r>
      <w:r w:rsidRPr="00483CFC">
        <w:rPr>
          <w:rFonts w:ascii="Barlow" w:hAnsi="Barlow"/>
          <w:i/>
          <w:iCs/>
          <w:sz w:val="24"/>
          <w:szCs w:val="24"/>
        </w:rPr>
        <w:t>Children</w:t>
      </w:r>
      <w:r w:rsidRPr="00483CFC">
        <w:rPr>
          <w:rFonts w:ascii="Barlow" w:hAnsi="Barlow"/>
          <w:sz w:val="24"/>
          <w:szCs w:val="24"/>
        </w:rPr>
        <w:t xml:space="preserve">, </w:t>
      </w:r>
      <w:r w:rsidRPr="00483CFC">
        <w:rPr>
          <w:rFonts w:ascii="Barlow" w:hAnsi="Barlow"/>
          <w:i/>
          <w:iCs/>
          <w:sz w:val="24"/>
          <w:szCs w:val="24"/>
        </w:rPr>
        <w:t>9</w:t>
      </w:r>
      <w:r w:rsidRPr="00483CFC">
        <w:rPr>
          <w:rFonts w:ascii="Barlow" w:hAnsi="Barlow"/>
          <w:sz w:val="24"/>
          <w:szCs w:val="24"/>
        </w:rPr>
        <w:t xml:space="preserve">(1), 1–11. </w:t>
      </w:r>
      <w:hyperlink r:id="rId22" w:history="1">
        <w:r w:rsidRPr="00483CFC">
          <w:rPr>
            <w:rStyle w:val="Hyperlink"/>
            <w:rFonts w:ascii="Barlow" w:hAnsi="Barlow"/>
            <w:sz w:val="24"/>
            <w:szCs w:val="24"/>
          </w:rPr>
          <w:t>https://doi.org/10.3390/children9010108</w:t>
        </w:r>
      </w:hyperlink>
    </w:p>
    <w:p w14:paraId="259DA071"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Salasiah, Rahmadi, &amp; Irianto, T. (2020). Instrumen Penilaian Harian Aspek Kognitif Pendidikan Jasmani Olahraga Dan Kesehatan. </w:t>
      </w:r>
      <w:r w:rsidRPr="00483CFC">
        <w:rPr>
          <w:rFonts w:ascii="Barlow" w:hAnsi="Barlow"/>
          <w:i/>
          <w:iCs/>
          <w:sz w:val="24"/>
          <w:szCs w:val="24"/>
        </w:rPr>
        <w:t>Stabilitas: Jurnal Pendidikan Jasmani Dan Olahraga</w:t>
      </w:r>
      <w:r w:rsidRPr="00483CFC">
        <w:rPr>
          <w:rFonts w:ascii="Barlow" w:hAnsi="Barlow"/>
          <w:sz w:val="24"/>
          <w:szCs w:val="24"/>
        </w:rPr>
        <w:t xml:space="preserve">, </w:t>
      </w:r>
      <w:r w:rsidRPr="00483CFC">
        <w:rPr>
          <w:rFonts w:ascii="Barlow" w:hAnsi="Barlow"/>
          <w:i/>
          <w:iCs/>
          <w:sz w:val="24"/>
          <w:szCs w:val="24"/>
        </w:rPr>
        <w:t>1</w:t>
      </w:r>
      <w:r w:rsidRPr="00483CFC">
        <w:rPr>
          <w:rFonts w:ascii="Barlow" w:hAnsi="Barlow"/>
          <w:sz w:val="24"/>
          <w:szCs w:val="24"/>
        </w:rPr>
        <w:t xml:space="preserve">(1), 25–31. </w:t>
      </w:r>
      <w:hyperlink r:id="rId23" w:history="1">
        <w:r w:rsidRPr="00483CFC">
          <w:rPr>
            <w:rStyle w:val="Hyperlink"/>
            <w:rFonts w:ascii="Barlow" w:hAnsi="Barlow"/>
            <w:sz w:val="24"/>
            <w:szCs w:val="24"/>
          </w:rPr>
          <w:t>https://doi.org/10.20527/mpj.v1i1.476</w:t>
        </w:r>
      </w:hyperlink>
    </w:p>
    <w:p w14:paraId="2B20E3CC"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Setyaningsih, R., Mariza, A., Hastuti, L. S., Harahap, S. A., Puspitosari, A., Parinduri, S. A., &amp; Prasetyaningsih, R. H. (2021). </w:t>
      </w:r>
      <w:r w:rsidRPr="00483CFC">
        <w:rPr>
          <w:rFonts w:ascii="Barlow" w:hAnsi="Barlow"/>
          <w:i/>
          <w:iCs/>
          <w:sz w:val="24"/>
          <w:szCs w:val="24"/>
        </w:rPr>
        <w:t>Tahta Media Group</w:t>
      </w:r>
      <w:r w:rsidRPr="00483CFC">
        <w:rPr>
          <w:rFonts w:ascii="Barlow" w:hAnsi="Barlow"/>
          <w:sz w:val="24"/>
          <w:szCs w:val="24"/>
        </w:rPr>
        <w:t>.</w:t>
      </w:r>
    </w:p>
    <w:p w14:paraId="27CFCD4C"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Setiawan, H., Susanto, H., &amp; Yulianti, K. (2021). Inclusive education and teacher preparedness in Indonesia. International Journal of Instruction, 14(2), 365–378.</w:t>
      </w:r>
    </w:p>
    <w:p w14:paraId="6A039B52"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Sharma, U., &amp; Sokal, L. (2015). The impact of a teacher education course on pre‐service teachers’ beliefs about inclusion: An international comparison. Journal of Research in Special Educational Needs, 15(4), 276–284.</w:t>
      </w:r>
    </w:p>
    <w:p w14:paraId="276A9A44" w14:textId="77777777" w:rsidR="00483CFC" w:rsidRPr="00483CFC" w:rsidRDefault="00483CFC"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 xml:space="preserve">Sriyanto, A. (2019). Teknik Pengolahan Hasil Penentuan Standar Asesmen, Teknik Pengolahan dengan Menggunakan Pendekatan Acuan Patokan (PAP) dan Acuan Norma (PAN). </w:t>
      </w:r>
      <w:r w:rsidRPr="00483CFC">
        <w:rPr>
          <w:rFonts w:ascii="Barlow" w:hAnsi="Barlow"/>
          <w:i/>
          <w:iCs/>
          <w:sz w:val="24"/>
          <w:szCs w:val="24"/>
        </w:rPr>
        <w:t>Jurnal Al-Lubab</w:t>
      </w:r>
      <w:r w:rsidRPr="00483CFC">
        <w:rPr>
          <w:rFonts w:ascii="Barlow" w:hAnsi="Barlow"/>
          <w:sz w:val="24"/>
          <w:szCs w:val="24"/>
        </w:rPr>
        <w:t xml:space="preserve">, </w:t>
      </w:r>
      <w:r w:rsidRPr="00483CFC">
        <w:rPr>
          <w:rFonts w:ascii="Barlow" w:hAnsi="Barlow"/>
          <w:i/>
          <w:iCs/>
          <w:sz w:val="24"/>
          <w:szCs w:val="24"/>
        </w:rPr>
        <w:t>5</w:t>
      </w:r>
      <w:r w:rsidRPr="00483CFC">
        <w:rPr>
          <w:rFonts w:ascii="Barlow" w:hAnsi="Barlow"/>
          <w:sz w:val="24"/>
          <w:szCs w:val="24"/>
        </w:rPr>
        <w:t>(2), 242–258.</w:t>
      </w:r>
    </w:p>
    <w:p w14:paraId="3FACF7BF"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Suyatno, S., Rohman, A., &amp; Mulyani, S. (2021). Inclusive physical education: Teachers' experience in implementing inclusive practices. Jurnal Pendidikan Jasmani Indonesia, 17(2), 152–164.</w:t>
      </w:r>
    </w:p>
    <w:p w14:paraId="69A93A71"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UNESCO. (2017). Education for Sustainable Development Goals: Learning Objectives. Paris: UNESCO.</w:t>
      </w:r>
    </w:p>
    <w:p w14:paraId="1C33FC03"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Vickerman, P., &amp; Coates, J. K. (2009). Trainee and recently qualified physical education teachers’ perspectives on including children with special educational needs. Physical Education and Sport Pedagogy, 14(2), 137–153.</w:t>
      </w:r>
    </w:p>
    <w:p w14:paraId="1157B557" w14:textId="77777777" w:rsidR="00483CFC" w:rsidRPr="00483CFC" w:rsidRDefault="00483CFC" w:rsidP="001B52A6">
      <w:pPr>
        <w:spacing w:after="120" w:line="240" w:lineRule="auto"/>
        <w:ind w:left="567" w:hanging="567"/>
        <w:rPr>
          <w:rFonts w:ascii="Barlow" w:eastAsia="Times New Roman" w:hAnsi="Barlow" w:cs="Tahoma"/>
          <w:spacing w:val="2"/>
          <w:sz w:val="24"/>
          <w:szCs w:val="24"/>
        </w:rPr>
      </w:pPr>
      <w:r w:rsidRPr="00483CFC">
        <w:rPr>
          <w:rFonts w:ascii="Barlow" w:hAnsi="Barlow"/>
          <w:sz w:val="24"/>
          <w:szCs w:val="24"/>
        </w:rPr>
        <w:t xml:space="preserve">Wahyudi, W. (2022). Analisis Motivasi Belajar Siswa Dengan Menggunakan Model Pembelajaran Blended Learning Saat Pandemi Covid-19 (Deskriptif Kuantitatif Di Sman 1 Babadan Ponorogo). </w:t>
      </w:r>
      <w:r w:rsidRPr="00483CFC">
        <w:rPr>
          <w:rFonts w:ascii="Barlow" w:hAnsi="Barlow"/>
          <w:i/>
          <w:iCs/>
          <w:sz w:val="24"/>
          <w:szCs w:val="24"/>
        </w:rPr>
        <w:t>KadikmA</w:t>
      </w:r>
      <w:r w:rsidRPr="00483CFC">
        <w:rPr>
          <w:rFonts w:ascii="Barlow" w:hAnsi="Barlow"/>
          <w:sz w:val="24"/>
          <w:szCs w:val="24"/>
        </w:rPr>
        <w:t xml:space="preserve">, </w:t>
      </w:r>
      <w:r w:rsidRPr="00483CFC">
        <w:rPr>
          <w:rFonts w:ascii="Barlow" w:hAnsi="Barlow"/>
          <w:i/>
          <w:iCs/>
          <w:sz w:val="24"/>
          <w:szCs w:val="24"/>
        </w:rPr>
        <w:t>13</w:t>
      </w:r>
      <w:r w:rsidRPr="00483CFC">
        <w:rPr>
          <w:rFonts w:ascii="Barlow" w:hAnsi="Barlow"/>
          <w:sz w:val="24"/>
          <w:szCs w:val="24"/>
        </w:rPr>
        <w:t xml:space="preserve">(1), 68. </w:t>
      </w:r>
      <w:hyperlink r:id="rId24" w:history="1">
        <w:r w:rsidRPr="00483CFC">
          <w:rPr>
            <w:rStyle w:val="Hyperlink"/>
            <w:rFonts w:ascii="Barlow" w:hAnsi="Barlow"/>
            <w:sz w:val="24"/>
            <w:szCs w:val="24"/>
          </w:rPr>
          <w:t>https://doi.org/10.19184/kdma.v13i1.31327</w:t>
        </w:r>
      </w:hyperlink>
    </w:p>
    <w:p w14:paraId="6CD4918F" w14:textId="77777777" w:rsidR="00160103" w:rsidRPr="00483CFC"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Wilhelmsen, T., &amp; Sørensen, M. (2017). Inclusive physical education: A systematic review of empirical studies. Scandinavian Journal of Educational Research, 61(6), 701–722.</w:t>
      </w:r>
    </w:p>
    <w:p w14:paraId="31E11BAD" w14:textId="77777777" w:rsidR="00111933" w:rsidRPr="00044402" w:rsidRDefault="00160103" w:rsidP="001B52A6">
      <w:pPr>
        <w:widowControl w:val="0"/>
        <w:autoSpaceDE w:val="0"/>
        <w:autoSpaceDN w:val="0"/>
        <w:adjustRightInd w:val="0"/>
        <w:spacing w:after="120" w:line="240" w:lineRule="auto"/>
        <w:ind w:left="567" w:hanging="567"/>
        <w:jc w:val="both"/>
        <w:rPr>
          <w:rFonts w:ascii="Barlow" w:hAnsi="Barlow"/>
          <w:sz w:val="24"/>
          <w:szCs w:val="24"/>
        </w:rPr>
      </w:pPr>
      <w:r w:rsidRPr="00483CFC">
        <w:rPr>
          <w:rFonts w:ascii="Barlow" w:hAnsi="Barlow"/>
          <w:sz w:val="24"/>
          <w:szCs w:val="24"/>
        </w:rPr>
        <w:t>Yusnita, D., &amp; Sutarto, E. (2022). Exploring the perception of inclusive education among rural primary teachers. Jurnal Pendidikan Dasar Nusantara, 9(1), 12–21.</w:t>
      </w:r>
    </w:p>
    <w:sectPr w:rsidR="00111933" w:rsidRPr="00044402" w:rsidSect="00AB28AB">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701" w:right="1134" w:bottom="1134" w:left="1701" w:header="567" w:footer="454" w:gutter="0"/>
      <w:pgNumType w:start="10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9B26" w14:textId="77777777" w:rsidR="00DF22D3" w:rsidRDefault="00DF22D3" w:rsidP="00D73740">
      <w:pPr>
        <w:spacing w:after="0" w:line="240" w:lineRule="auto"/>
      </w:pPr>
      <w:r>
        <w:separator/>
      </w:r>
    </w:p>
  </w:endnote>
  <w:endnote w:type="continuationSeparator" w:id="0">
    <w:p w14:paraId="60B9740B" w14:textId="77777777" w:rsidR="00DF22D3" w:rsidRDefault="00DF22D3" w:rsidP="00D7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Lustri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0864" w14:textId="77777777" w:rsidR="00111933" w:rsidRPr="00D03AB0" w:rsidRDefault="00111933" w:rsidP="00D03AB0">
    <w:pPr>
      <w:pStyle w:val="Footer"/>
      <w:spacing w:before="120"/>
      <w:jc w:val="center"/>
      <w:rPr>
        <w:rFonts w:ascii="Barlow" w:hAnsi="Barlow" w:cs="Tahoma"/>
        <w:sz w:val="24"/>
        <w:szCs w:val="18"/>
      </w:rPr>
    </w:pPr>
    <w:r w:rsidRPr="00D03AB0">
      <w:rPr>
        <w:rFonts w:ascii="Barlow" w:hAnsi="Barlow" w:cs="Tahoma"/>
        <w:bCs/>
        <w:sz w:val="24"/>
        <w:szCs w:val="18"/>
      </w:rPr>
      <w:fldChar w:fldCharType="begin"/>
    </w:r>
    <w:r w:rsidRPr="00D03AB0">
      <w:rPr>
        <w:rFonts w:ascii="Barlow" w:hAnsi="Barlow" w:cs="Tahoma"/>
        <w:bCs/>
        <w:sz w:val="24"/>
        <w:szCs w:val="18"/>
      </w:rPr>
      <w:instrText xml:space="preserve"> PAGE </w:instrText>
    </w:r>
    <w:r w:rsidRPr="00D03AB0">
      <w:rPr>
        <w:rFonts w:ascii="Barlow" w:hAnsi="Barlow" w:cs="Tahoma"/>
        <w:bCs/>
        <w:sz w:val="24"/>
        <w:szCs w:val="18"/>
      </w:rPr>
      <w:fldChar w:fldCharType="separate"/>
    </w:r>
    <w:r w:rsidRPr="00D03AB0">
      <w:rPr>
        <w:rFonts w:ascii="Barlow" w:hAnsi="Barlow" w:cs="Tahoma"/>
        <w:bCs/>
        <w:sz w:val="24"/>
        <w:szCs w:val="18"/>
      </w:rPr>
      <w:t>6</w:t>
    </w:r>
    <w:r w:rsidRPr="00D03AB0">
      <w:rPr>
        <w:rFonts w:ascii="Barlow" w:hAnsi="Barlow" w:cs="Tahoma"/>
        <w:bCs/>
        <w:sz w:val="2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6250" w14:textId="77777777" w:rsidR="00111933" w:rsidRPr="007530E7" w:rsidRDefault="00111933" w:rsidP="00AB28AB">
    <w:pPr>
      <w:pStyle w:val="Footer"/>
      <w:tabs>
        <w:tab w:val="clear" w:pos="4513"/>
        <w:tab w:val="clear" w:pos="9026"/>
      </w:tabs>
      <w:spacing w:before="120"/>
      <w:ind w:right="-1"/>
      <w:jc w:val="center"/>
      <w:rPr>
        <w:rFonts w:ascii="Barlow" w:hAnsi="Barlow" w:cs="Tahoma"/>
        <w:sz w:val="24"/>
        <w:szCs w:val="18"/>
        <w:lang w:val="en-ID"/>
      </w:rPr>
    </w:pPr>
    <w:r w:rsidRPr="007530E7">
      <w:rPr>
        <w:rFonts w:ascii="Barlow" w:hAnsi="Barlow" w:cs="Tahoma"/>
        <w:bCs/>
        <w:sz w:val="24"/>
        <w:szCs w:val="18"/>
      </w:rPr>
      <w:fldChar w:fldCharType="begin"/>
    </w:r>
    <w:r w:rsidRPr="007530E7">
      <w:rPr>
        <w:rFonts w:ascii="Barlow" w:hAnsi="Barlow" w:cs="Tahoma"/>
        <w:bCs/>
        <w:sz w:val="24"/>
        <w:szCs w:val="18"/>
      </w:rPr>
      <w:instrText xml:space="preserve"> PAGE </w:instrText>
    </w:r>
    <w:r w:rsidRPr="007530E7">
      <w:rPr>
        <w:rFonts w:ascii="Barlow" w:hAnsi="Barlow" w:cs="Tahoma"/>
        <w:bCs/>
        <w:sz w:val="24"/>
        <w:szCs w:val="18"/>
      </w:rPr>
      <w:fldChar w:fldCharType="separate"/>
    </w:r>
    <w:r w:rsidRPr="007530E7">
      <w:rPr>
        <w:rFonts w:ascii="Barlow" w:hAnsi="Barlow" w:cs="Tahoma"/>
        <w:bCs/>
        <w:sz w:val="24"/>
        <w:szCs w:val="18"/>
      </w:rPr>
      <w:t>6</w:t>
    </w:r>
    <w:r w:rsidRPr="007530E7">
      <w:rPr>
        <w:rFonts w:ascii="Barlow" w:hAnsi="Barlow" w:cs="Tahoma"/>
        <w:bCs/>
        <w:sz w:val="2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DA4A" w14:textId="77777777" w:rsidR="00111933" w:rsidRPr="00BF4BFF" w:rsidRDefault="00111933" w:rsidP="00E3076B">
    <w:pPr>
      <w:tabs>
        <w:tab w:val="center" w:pos="4536"/>
      </w:tabs>
      <w:spacing w:after="0" w:line="240" w:lineRule="auto"/>
      <w:rPr>
        <w:rFonts w:ascii="Tahoma" w:hAnsi="Tahoma" w:cs="Tahoma"/>
        <w:sz w:val="16"/>
        <w:szCs w:val="18"/>
      </w:rPr>
    </w:pPr>
    <w:r w:rsidRPr="00BF4BFF">
      <w:rPr>
        <w:rFonts w:ascii="Tahoma" w:hAnsi="Tahoma" w:cs="Tahoma"/>
        <w:b/>
        <w:bCs/>
        <w:color w:val="003300"/>
        <w:sz w:val="20"/>
      </w:rPr>
      <w:tab/>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701"/>
    </w:tblGrid>
    <w:tr w:rsidR="00111933" w:rsidRPr="00BF4BFF" w14:paraId="0BA454B9" w14:textId="77777777" w:rsidTr="00D81206">
      <w:tc>
        <w:tcPr>
          <w:tcW w:w="7371" w:type="dxa"/>
          <w:tcBorders>
            <w:top w:val="single" w:sz="12" w:space="0" w:color="244061" w:themeColor="accent1" w:themeShade="80"/>
          </w:tcBorders>
        </w:tcPr>
        <w:p w14:paraId="43CC4AE2" w14:textId="77777777" w:rsidR="00D81206" w:rsidRPr="00D81206" w:rsidRDefault="00D81206" w:rsidP="00D81206">
          <w:pPr>
            <w:ind w:left="1026"/>
            <w:jc w:val="right"/>
            <w:rPr>
              <w:rFonts w:ascii="Barlow" w:eastAsia="Lustria" w:hAnsi="Barlow" w:cs="Lustria"/>
              <w:i/>
              <w:sz w:val="16"/>
              <w:szCs w:val="16"/>
            </w:rPr>
          </w:pPr>
          <w:r w:rsidRPr="00D81206">
            <w:rPr>
              <w:rFonts w:ascii="Barlow" w:eastAsia="Lustria" w:hAnsi="Barlow" w:cs="Lustria"/>
              <w:sz w:val="16"/>
              <w:szCs w:val="16"/>
            </w:rPr>
            <w:t>This work is licensed under a</w:t>
          </w:r>
          <w:r w:rsidRPr="00D81206">
            <w:rPr>
              <w:rFonts w:ascii="Barlow" w:eastAsia="Lustria" w:hAnsi="Barlow" w:cs="Lustria"/>
              <w:i/>
              <w:sz w:val="16"/>
              <w:szCs w:val="16"/>
            </w:rPr>
            <w:t xml:space="preserve"> Creative Commons Attribution </w:t>
          </w:r>
        </w:p>
        <w:p w14:paraId="0F619FA3" w14:textId="77777777" w:rsidR="00D81206" w:rsidRPr="00D81206" w:rsidRDefault="00D81206" w:rsidP="00D81206">
          <w:pPr>
            <w:jc w:val="right"/>
            <w:rPr>
              <w:rFonts w:ascii="Barlow" w:hAnsi="Barlow" w:cs="Tahoma"/>
              <w:sz w:val="16"/>
              <w:szCs w:val="16"/>
            </w:rPr>
          </w:pPr>
          <w:r w:rsidRPr="00D81206">
            <w:rPr>
              <w:rFonts w:ascii="Barlow" w:eastAsia="Lustria" w:hAnsi="Barlow" w:cs="Lustria"/>
              <w:i/>
              <w:sz w:val="16"/>
              <w:szCs w:val="16"/>
            </w:rPr>
            <w:t xml:space="preserve">                4.0 International License</w:t>
          </w:r>
        </w:p>
        <w:p w14:paraId="2F35FA65" w14:textId="77777777" w:rsidR="00111933" w:rsidRPr="00BF4BFF" w:rsidRDefault="00111933" w:rsidP="00EA13C2">
          <w:pPr>
            <w:spacing w:after="120"/>
            <w:jc w:val="right"/>
            <w:rPr>
              <w:rFonts w:ascii="Tahoma" w:hAnsi="Tahoma" w:cs="Tahoma"/>
              <w:sz w:val="16"/>
              <w:szCs w:val="16"/>
            </w:rPr>
          </w:pPr>
          <w:r w:rsidRPr="00D81206">
            <w:rPr>
              <w:rFonts w:ascii="Barlow" w:hAnsi="Barlow" w:cs="Tahoma"/>
              <w:sz w:val="16"/>
              <w:szCs w:val="16"/>
            </w:rPr>
            <w:t>Copyright © 20</w:t>
          </w:r>
          <w:r w:rsidR="00D81206">
            <w:rPr>
              <w:rFonts w:ascii="Barlow" w:hAnsi="Barlow" w:cs="Tahoma"/>
              <w:sz w:val="16"/>
              <w:szCs w:val="16"/>
              <w:lang w:val="en-US"/>
            </w:rPr>
            <w:t>18</w:t>
          </w:r>
          <w:r w:rsidRPr="00D81206">
            <w:rPr>
              <w:rFonts w:ascii="Barlow" w:hAnsi="Barlow" w:cs="Tahoma"/>
              <w:sz w:val="16"/>
              <w:szCs w:val="16"/>
            </w:rPr>
            <w:t xml:space="preserve"> by </w:t>
          </w:r>
          <w:r w:rsidRPr="00D81206">
            <w:rPr>
              <w:rFonts w:ascii="Barlow" w:hAnsi="Barlow" w:cs="Tahoma"/>
              <w:b/>
              <w:bCs/>
              <w:sz w:val="16"/>
              <w:szCs w:val="16"/>
            </w:rPr>
            <w:t>Author</w:t>
          </w:r>
          <w:r w:rsidRPr="00D81206">
            <w:rPr>
              <w:rFonts w:ascii="Barlow" w:hAnsi="Barlow" w:cs="Tahoma"/>
              <w:sz w:val="16"/>
              <w:szCs w:val="16"/>
            </w:rPr>
            <w:t xml:space="preserve">. Published by </w:t>
          </w:r>
          <w:r w:rsidR="00D81206" w:rsidRPr="00D81206">
            <w:rPr>
              <w:rFonts w:ascii="Barlow" w:hAnsi="Barlow" w:cs="Tahoma"/>
              <w:b/>
              <w:bCs/>
              <w:sz w:val="16"/>
              <w:szCs w:val="16"/>
              <w:lang w:val="en-US"/>
            </w:rPr>
            <w:t>Universitas Negeri Makassar</w:t>
          </w:r>
        </w:p>
      </w:tc>
      <w:tc>
        <w:tcPr>
          <w:tcW w:w="1701" w:type="dxa"/>
          <w:tcBorders>
            <w:top w:val="single" w:sz="12" w:space="0" w:color="244061" w:themeColor="accent1" w:themeShade="80"/>
          </w:tcBorders>
        </w:tcPr>
        <w:p w14:paraId="44D3C7C9" w14:textId="77777777" w:rsidR="00111933" w:rsidRPr="00BF4BFF" w:rsidRDefault="00D81206" w:rsidP="008B60E0">
          <w:pPr>
            <w:spacing w:before="120"/>
            <w:ind w:right="33"/>
            <w:jc w:val="right"/>
            <w:rPr>
              <w:rFonts w:ascii="Tahoma" w:hAnsi="Tahoma" w:cs="Tahoma"/>
              <w:sz w:val="16"/>
              <w:szCs w:val="16"/>
            </w:rPr>
          </w:pPr>
          <w:r w:rsidRPr="00D81206">
            <w:rPr>
              <w:rFonts w:ascii="Barlow" w:hAnsi="Barlow"/>
              <w:noProof/>
            </w:rPr>
            <w:drawing>
              <wp:anchor distT="0" distB="0" distL="114300" distR="114300" simplePos="0" relativeHeight="251658240" behindDoc="0" locked="0" layoutInCell="1" allowOverlap="1" wp14:anchorId="04894B7D" wp14:editId="22219E27">
                <wp:simplePos x="0" y="0"/>
                <wp:positionH relativeFrom="column">
                  <wp:posOffset>-8519</wp:posOffset>
                </wp:positionH>
                <wp:positionV relativeFrom="paragraph">
                  <wp:posOffset>19685</wp:posOffset>
                </wp:positionV>
                <wp:extent cx="994193" cy="377358"/>
                <wp:effectExtent l="0" t="0" r="0" b="3810"/>
                <wp:wrapNone/>
                <wp:docPr id="13" name="image2.png" descr="updownload_-_Copy3"/>
                <wp:cNvGraphicFramePr/>
                <a:graphic xmlns:a="http://schemas.openxmlformats.org/drawingml/2006/main">
                  <a:graphicData uri="http://schemas.openxmlformats.org/drawingml/2006/picture">
                    <pic:pic xmlns:pic="http://schemas.openxmlformats.org/drawingml/2006/picture">
                      <pic:nvPicPr>
                        <pic:cNvPr id="0" name="image2.png" descr="updownload_-_Copy3"/>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94193" cy="377358"/>
                        </a:xfrm>
                        <a:prstGeom prst="rect">
                          <a:avLst/>
                        </a:prstGeom>
                        <a:ln/>
                      </pic:spPr>
                    </pic:pic>
                  </a:graphicData>
                </a:graphic>
              </wp:anchor>
            </w:drawing>
          </w:r>
        </w:p>
      </w:tc>
    </w:tr>
  </w:tbl>
  <w:p w14:paraId="3A52E37F" w14:textId="77777777" w:rsidR="00111933" w:rsidRPr="00BF4BFF" w:rsidRDefault="00111933" w:rsidP="00E3076B">
    <w:pPr>
      <w:tabs>
        <w:tab w:val="center" w:pos="4536"/>
      </w:tabs>
      <w:spacing w:after="0" w:line="240" w:lineRule="auto"/>
      <w:rPr>
        <w:rFonts w:ascii="Tahoma" w:hAnsi="Tahoma" w:cs="Tahoma"/>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B0ED" w14:textId="77777777" w:rsidR="00DF22D3" w:rsidRDefault="00DF22D3" w:rsidP="00D73740">
      <w:pPr>
        <w:spacing w:after="0" w:line="240" w:lineRule="auto"/>
      </w:pPr>
      <w:r>
        <w:separator/>
      </w:r>
    </w:p>
  </w:footnote>
  <w:footnote w:type="continuationSeparator" w:id="0">
    <w:p w14:paraId="66B94463" w14:textId="77777777" w:rsidR="00DF22D3" w:rsidRDefault="00DF22D3" w:rsidP="00D73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1933" w:rsidRPr="006E2F1A" w14:paraId="73CE4A92" w14:textId="77777777" w:rsidTr="00E066D4">
      <w:tc>
        <w:tcPr>
          <w:tcW w:w="9072" w:type="dxa"/>
          <w:tcBorders>
            <w:left w:val="single" w:sz="24" w:space="0" w:color="auto"/>
          </w:tcBorders>
        </w:tcPr>
        <w:p w14:paraId="4FEEAFF1" w14:textId="77777777" w:rsidR="005F6DEC" w:rsidRPr="00C13FDD" w:rsidRDefault="00C13FDD" w:rsidP="00C13FDD">
          <w:pPr>
            <w:pStyle w:val="Header"/>
            <w:jc w:val="both"/>
            <w:rPr>
              <w:rFonts w:ascii="Barlow" w:hAnsi="Barlow" w:cs="Tahoma"/>
              <w:color w:val="3333FF"/>
              <w:sz w:val="16"/>
              <w:szCs w:val="16"/>
              <w:lang w:val="en-US"/>
            </w:rPr>
          </w:pPr>
          <w:r w:rsidRPr="00C13FDD">
            <w:rPr>
              <w:rFonts w:ascii="Barlow" w:hAnsi="Barlow" w:cs="Tahoma"/>
              <w:color w:val="3333FF"/>
              <w:sz w:val="16"/>
              <w:szCs w:val="16"/>
            </w:rPr>
            <w:t>Physical Education Teachers</w:t>
          </w:r>
          <w:r>
            <w:rPr>
              <w:rFonts w:ascii="Barlow" w:hAnsi="Barlow" w:cs="Tahoma"/>
              <w:color w:val="3333FF"/>
              <w:sz w:val="16"/>
              <w:szCs w:val="16"/>
            </w:rPr>
            <w:t>'</w:t>
          </w:r>
          <w:r w:rsidRPr="00C13FDD">
            <w:rPr>
              <w:rFonts w:ascii="Barlow" w:hAnsi="Barlow" w:cs="Tahoma"/>
              <w:color w:val="3333FF"/>
              <w:sz w:val="16"/>
              <w:szCs w:val="16"/>
            </w:rPr>
            <w:t xml:space="preserve"> Perceptions of Inclusive Learning in Elementary Schools, Martapura District</w:t>
          </w:r>
        </w:p>
        <w:p w14:paraId="12E08419" w14:textId="77777777" w:rsidR="00C13FDD" w:rsidRPr="00C13FDD" w:rsidRDefault="00C13FDD" w:rsidP="00C13FDD">
          <w:pPr>
            <w:pStyle w:val="Header"/>
            <w:jc w:val="both"/>
            <w:rPr>
              <w:rFonts w:ascii="Barlow" w:eastAsia="MS Mincho" w:hAnsi="Barlow" w:cs="Segoe UI"/>
              <w:b/>
              <w:bCs/>
              <w:color w:val="3333FF"/>
              <w:sz w:val="16"/>
              <w:szCs w:val="16"/>
              <w:lang w:val="en-US"/>
            </w:rPr>
          </w:pPr>
          <w:r w:rsidRPr="00C13FDD">
            <w:rPr>
              <w:rFonts w:ascii="Barlow" w:hAnsi="Barlow" w:cs="Tahoma"/>
              <w:b/>
              <w:bCs/>
              <w:color w:val="3333FF"/>
              <w:sz w:val="16"/>
              <w:szCs w:val="16"/>
            </w:rPr>
            <w:t>Rahma Azizah</w:t>
          </w:r>
          <w:r w:rsidRPr="00C13FDD">
            <w:rPr>
              <w:rFonts w:ascii="Barlow" w:hAnsi="Barlow" w:cs="Tahoma"/>
              <w:b/>
              <w:bCs/>
              <w:color w:val="3333FF"/>
              <w:sz w:val="16"/>
              <w:szCs w:val="16"/>
              <w:vertAlign w:val="superscript"/>
            </w:rPr>
            <w:t>1A-E*</w:t>
          </w:r>
          <w:r w:rsidRPr="00C13FDD">
            <w:rPr>
              <w:rFonts w:ascii="Barlow" w:hAnsi="Barlow" w:cs="Tahoma"/>
              <w:b/>
              <w:bCs/>
              <w:color w:val="3333FF"/>
              <w:sz w:val="16"/>
              <w:szCs w:val="16"/>
            </w:rPr>
            <w:t>, Rahmadi</w:t>
          </w:r>
          <w:r w:rsidRPr="00C13FDD">
            <w:rPr>
              <w:rFonts w:ascii="Barlow" w:hAnsi="Barlow" w:cs="Tahoma"/>
              <w:b/>
              <w:bCs/>
              <w:color w:val="3333FF"/>
              <w:sz w:val="16"/>
              <w:szCs w:val="16"/>
              <w:vertAlign w:val="superscript"/>
            </w:rPr>
            <w:t>2B-D</w:t>
          </w:r>
          <w:r w:rsidRPr="00C13FDD">
            <w:rPr>
              <w:rFonts w:ascii="Barlow" w:hAnsi="Barlow" w:cs="Tahoma"/>
              <w:b/>
              <w:bCs/>
              <w:color w:val="3333FF"/>
              <w:sz w:val="16"/>
              <w:szCs w:val="16"/>
            </w:rPr>
            <w:t>, Recky Ahmad Haffyandi</w:t>
          </w:r>
          <w:r w:rsidRPr="00C13FDD">
            <w:rPr>
              <w:rFonts w:ascii="Barlow" w:hAnsi="Barlow" w:cs="Tahoma"/>
              <w:b/>
              <w:bCs/>
              <w:color w:val="3333FF"/>
              <w:sz w:val="16"/>
              <w:szCs w:val="16"/>
              <w:vertAlign w:val="superscript"/>
            </w:rPr>
            <w:t>3B-D</w:t>
          </w:r>
        </w:p>
        <w:p w14:paraId="4A387ADD" w14:textId="77777777" w:rsidR="005F6DEC" w:rsidRPr="00B6044C" w:rsidRDefault="00C13FDD" w:rsidP="00D81206">
          <w:pPr>
            <w:pStyle w:val="Header"/>
            <w:tabs>
              <w:tab w:val="clear" w:pos="9026"/>
            </w:tabs>
            <w:spacing w:after="60"/>
            <w:rPr>
              <w:rFonts w:ascii="Segoe UI" w:eastAsia="MS Mincho" w:hAnsi="Segoe UI" w:cs="Segoe UI"/>
              <w:bCs/>
              <w:color w:val="000099"/>
              <w:sz w:val="18"/>
              <w:szCs w:val="18"/>
              <w:lang w:val="en-US"/>
            </w:rPr>
          </w:pPr>
          <w:hyperlink r:id="rId1" w:history="1">
            <w:r w:rsidRPr="00C13FDD">
              <w:rPr>
                <w:rStyle w:val="Hyperlink"/>
                <w:rFonts w:ascii="Barlow" w:hAnsi="Barlow" w:cs="Tahoma"/>
                <w:color w:val="3333FF"/>
                <w:sz w:val="16"/>
                <w:szCs w:val="16"/>
              </w:rPr>
              <w:t>903rahmaazizah@gmail.com</w:t>
            </w:r>
            <w:r w:rsidRPr="00C13FDD">
              <w:rPr>
                <w:rStyle w:val="Hyperlink"/>
                <w:rFonts w:ascii="Barlow" w:hAnsi="Barlow" w:cs="Tahoma"/>
                <w:color w:val="3333FF"/>
                <w:sz w:val="16"/>
                <w:szCs w:val="16"/>
                <w:vertAlign w:val="superscript"/>
              </w:rPr>
              <w:t>1</w:t>
            </w:r>
          </w:hyperlink>
          <w:r w:rsidR="005F6DEC" w:rsidRPr="00C13FDD">
            <w:rPr>
              <w:rFonts w:ascii="Barlow" w:hAnsi="Barlow" w:cs="Tahoma"/>
              <w:color w:val="3333FF"/>
              <w:sz w:val="16"/>
              <w:szCs w:val="16"/>
              <w:lang w:val="en-US"/>
            </w:rPr>
            <w:t>*</w:t>
          </w:r>
        </w:p>
      </w:tc>
    </w:tr>
  </w:tbl>
  <w:p w14:paraId="4C0FBE85" w14:textId="77777777" w:rsidR="00111933" w:rsidRPr="00EE5D51" w:rsidRDefault="00111933" w:rsidP="00E3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1933" w:rsidRPr="00870FF9" w14:paraId="7C51A62A" w14:textId="77777777" w:rsidTr="00E066D4">
      <w:tc>
        <w:tcPr>
          <w:tcW w:w="9072" w:type="dxa"/>
          <w:tcBorders>
            <w:right w:val="single" w:sz="24" w:space="0" w:color="auto"/>
          </w:tcBorders>
        </w:tcPr>
        <w:p w14:paraId="6F478F70" w14:textId="77777777" w:rsidR="00C13FDD" w:rsidRPr="00C13FDD" w:rsidRDefault="00C13FDD" w:rsidP="00C13FDD">
          <w:pPr>
            <w:pStyle w:val="Header"/>
            <w:jc w:val="right"/>
            <w:rPr>
              <w:rFonts w:ascii="Barlow" w:hAnsi="Barlow" w:cs="Tahoma"/>
              <w:color w:val="3333FF"/>
              <w:sz w:val="16"/>
              <w:szCs w:val="16"/>
              <w:lang w:val="en-US"/>
            </w:rPr>
          </w:pPr>
          <w:r w:rsidRPr="00C13FDD">
            <w:rPr>
              <w:rFonts w:ascii="Barlow" w:hAnsi="Barlow" w:cs="Tahoma"/>
              <w:color w:val="3333FF"/>
              <w:sz w:val="16"/>
              <w:szCs w:val="16"/>
            </w:rPr>
            <w:t>Physical Education Teachers</w:t>
          </w:r>
          <w:r>
            <w:rPr>
              <w:rFonts w:ascii="Barlow" w:hAnsi="Barlow" w:cs="Tahoma"/>
              <w:color w:val="3333FF"/>
              <w:sz w:val="16"/>
              <w:szCs w:val="16"/>
            </w:rPr>
            <w:t>'</w:t>
          </w:r>
          <w:r w:rsidRPr="00C13FDD">
            <w:rPr>
              <w:rFonts w:ascii="Barlow" w:hAnsi="Barlow" w:cs="Tahoma"/>
              <w:color w:val="3333FF"/>
              <w:sz w:val="16"/>
              <w:szCs w:val="16"/>
            </w:rPr>
            <w:t xml:space="preserve"> Perceptions of Inclusive Learning in Elementary Schools, Martapura District</w:t>
          </w:r>
        </w:p>
        <w:p w14:paraId="2756BF0A" w14:textId="77777777" w:rsidR="00C13FDD" w:rsidRPr="00C13FDD" w:rsidRDefault="00C13FDD" w:rsidP="00C13FDD">
          <w:pPr>
            <w:pStyle w:val="Header"/>
            <w:jc w:val="right"/>
            <w:rPr>
              <w:rFonts w:ascii="Barlow" w:eastAsia="MS Mincho" w:hAnsi="Barlow" w:cs="Segoe UI"/>
              <w:b/>
              <w:bCs/>
              <w:color w:val="3333FF"/>
              <w:sz w:val="16"/>
              <w:szCs w:val="16"/>
              <w:lang w:val="en-US"/>
            </w:rPr>
          </w:pPr>
          <w:r w:rsidRPr="00C13FDD">
            <w:rPr>
              <w:rFonts w:ascii="Barlow" w:hAnsi="Barlow" w:cs="Tahoma"/>
              <w:b/>
              <w:bCs/>
              <w:color w:val="3333FF"/>
              <w:sz w:val="16"/>
              <w:szCs w:val="16"/>
            </w:rPr>
            <w:t>Rahma Azizah</w:t>
          </w:r>
          <w:r w:rsidRPr="00C13FDD">
            <w:rPr>
              <w:rFonts w:ascii="Barlow" w:hAnsi="Barlow" w:cs="Tahoma"/>
              <w:b/>
              <w:bCs/>
              <w:color w:val="3333FF"/>
              <w:sz w:val="16"/>
              <w:szCs w:val="16"/>
              <w:vertAlign w:val="superscript"/>
            </w:rPr>
            <w:t>1A-E*</w:t>
          </w:r>
          <w:r w:rsidRPr="00C13FDD">
            <w:rPr>
              <w:rFonts w:ascii="Barlow" w:hAnsi="Barlow" w:cs="Tahoma"/>
              <w:b/>
              <w:bCs/>
              <w:color w:val="3333FF"/>
              <w:sz w:val="16"/>
              <w:szCs w:val="16"/>
            </w:rPr>
            <w:t>, Rahmadi</w:t>
          </w:r>
          <w:r w:rsidRPr="00C13FDD">
            <w:rPr>
              <w:rFonts w:ascii="Barlow" w:hAnsi="Barlow" w:cs="Tahoma"/>
              <w:b/>
              <w:bCs/>
              <w:color w:val="3333FF"/>
              <w:sz w:val="16"/>
              <w:szCs w:val="16"/>
              <w:vertAlign w:val="superscript"/>
            </w:rPr>
            <w:t>2B-D</w:t>
          </w:r>
          <w:r w:rsidRPr="00C13FDD">
            <w:rPr>
              <w:rFonts w:ascii="Barlow" w:hAnsi="Barlow" w:cs="Tahoma"/>
              <w:b/>
              <w:bCs/>
              <w:color w:val="3333FF"/>
              <w:sz w:val="16"/>
              <w:szCs w:val="16"/>
            </w:rPr>
            <w:t>, Recky Ahmad Haffyandi</w:t>
          </w:r>
          <w:r w:rsidRPr="00C13FDD">
            <w:rPr>
              <w:rFonts w:ascii="Barlow" w:hAnsi="Barlow" w:cs="Tahoma"/>
              <w:b/>
              <w:bCs/>
              <w:color w:val="3333FF"/>
              <w:sz w:val="16"/>
              <w:szCs w:val="16"/>
              <w:vertAlign w:val="superscript"/>
            </w:rPr>
            <w:t>3B-D</w:t>
          </w:r>
        </w:p>
        <w:p w14:paraId="45EBA625" w14:textId="77777777" w:rsidR="00111933" w:rsidRPr="00D81206" w:rsidRDefault="00C13FDD" w:rsidP="00C13FDD">
          <w:pPr>
            <w:pStyle w:val="Header"/>
            <w:tabs>
              <w:tab w:val="clear" w:pos="9026"/>
            </w:tabs>
            <w:jc w:val="right"/>
            <w:rPr>
              <w:rFonts w:ascii="Barlow" w:eastAsia="MS Mincho" w:hAnsi="Barlow" w:cs="Tahoma"/>
              <w:bCs/>
              <w:i/>
              <w:iCs/>
              <w:color w:val="0070C0"/>
              <w:sz w:val="16"/>
              <w:szCs w:val="16"/>
              <w:lang w:val="en-US"/>
            </w:rPr>
          </w:pPr>
          <w:hyperlink r:id="rId1" w:history="1">
            <w:r w:rsidRPr="00C13FDD">
              <w:rPr>
                <w:rStyle w:val="Hyperlink"/>
                <w:rFonts w:ascii="Barlow" w:hAnsi="Barlow" w:cs="Tahoma"/>
                <w:color w:val="3333FF"/>
                <w:sz w:val="16"/>
                <w:szCs w:val="16"/>
              </w:rPr>
              <w:t>903rahmaazizah@gmail.com</w:t>
            </w:r>
            <w:r w:rsidRPr="00C13FDD">
              <w:rPr>
                <w:rStyle w:val="Hyperlink"/>
                <w:rFonts w:ascii="Barlow" w:hAnsi="Barlow" w:cs="Tahoma"/>
                <w:color w:val="3333FF"/>
                <w:sz w:val="16"/>
                <w:szCs w:val="16"/>
                <w:vertAlign w:val="superscript"/>
              </w:rPr>
              <w:t>1</w:t>
            </w:r>
          </w:hyperlink>
          <w:r w:rsidRPr="00C13FDD">
            <w:rPr>
              <w:rFonts w:ascii="Barlow" w:hAnsi="Barlow" w:cs="Tahoma"/>
              <w:color w:val="3333FF"/>
              <w:sz w:val="16"/>
              <w:szCs w:val="16"/>
              <w:lang w:val="en-US"/>
            </w:rPr>
            <w:t>*</w:t>
          </w:r>
        </w:p>
      </w:tc>
    </w:tr>
  </w:tbl>
  <w:p w14:paraId="63609975" w14:textId="77777777" w:rsidR="00111933" w:rsidRPr="00870FF9" w:rsidRDefault="00111933" w:rsidP="00E3076B">
    <w:pPr>
      <w:pStyle w:val="Header"/>
      <w:jc w:val="right"/>
      <w:rPr>
        <w:rFonts w:ascii="Tahoma" w:hAnsi="Tahoma" w:cs="Tahoma"/>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604"/>
    </w:tblGrid>
    <w:tr w:rsidR="00D81206" w14:paraId="16D2D33A" w14:textId="77777777" w:rsidTr="002445A6">
      <w:trPr>
        <w:trHeight w:val="1319"/>
      </w:trPr>
      <w:tc>
        <w:tcPr>
          <w:tcW w:w="1463" w:type="dxa"/>
        </w:tcPr>
        <w:p w14:paraId="55EC9191" w14:textId="77777777" w:rsidR="00D81206" w:rsidRDefault="00D81206" w:rsidP="002445A6">
          <w:pPr>
            <w:spacing w:before="100" w:beforeAutospacing="1" w:after="100" w:afterAutospacing="1"/>
            <w:jc w:val="center"/>
            <w:rPr>
              <w:rFonts w:ascii="Times New Roman" w:eastAsia="Times New Roman" w:hAnsi="Times New Roman" w:cs="Times New Roman"/>
              <w:sz w:val="24"/>
              <w:szCs w:val="24"/>
              <w:lang w:val="en-ID"/>
            </w:rPr>
          </w:pPr>
          <w:r>
            <w:rPr>
              <w:noProof/>
            </w:rPr>
            <w:drawing>
              <wp:anchor distT="0" distB="0" distL="114300" distR="114300" simplePos="0" relativeHeight="251663360" behindDoc="0" locked="0" layoutInCell="1" allowOverlap="1" wp14:anchorId="159A8356" wp14:editId="63AD25A0">
                <wp:simplePos x="0" y="0"/>
                <wp:positionH relativeFrom="column">
                  <wp:posOffset>-56429</wp:posOffset>
                </wp:positionH>
                <wp:positionV relativeFrom="paragraph">
                  <wp:posOffset>12269</wp:posOffset>
                </wp:positionV>
                <wp:extent cx="851655" cy="845389"/>
                <wp:effectExtent l="0" t="0" r="5715" b="0"/>
                <wp:wrapNone/>
                <wp:docPr id="12" name="image1.jpg" descr="Logo CJ"/>
                <wp:cNvGraphicFramePr/>
                <a:graphic xmlns:a="http://schemas.openxmlformats.org/drawingml/2006/main">
                  <a:graphicData uri="http://schemas.openxmlformats.org/drawingml/2006/picture">
                    <pic:pic xmlns:pic="http://schemas.openxmlformats.org/drawingml/2006/picture">
                      <pic:nvPicPr>
                        <pic:cNvPr id="0" name="image1.jpg" descr="Logo CJ"/>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1655" cy="845389"/>
                        </a:xfrm>
                        <a:prstGeom prst="rect">
                          <a:avLst/>
                        </a:prstGeom>
                        <a:ln/>
                      </pic:spPr>
                    </pic:pic>
                  </a:graphicData>
                </a:graphic>
              </wp:anchor>
            </w:drawing>
          </w:r>
        </w:p>
      </w:tc>
      <w:tc>
        <w:tcPr>
          <w:tcW w:w="7604" w:type="dxa"/>
        </w:tcPr>
        <w:p w14:paraId="6F993E71" w14:textId="77777777" w:rsidR="002445A6" w:rsidRPr="002445A6" w:rsidRDefault="002445A6" w:rsidP="002445A6">
          <w:pPr>
            <w:pStyle w:val="Header"/>
            <w:rPr>
              <w:rFonts w:ascii="Tahoma" w:hAnsi="Tahoma" w:cs="Tahoma"/>
              <w:b/>
              <w:color w:val="FF0000"/>
              <w:sz w:val="40"/>
              <w:szCs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445A6">
            <w:rPr>
              <w:rFonts w:ascii="Tahoma" w:hAnsi="Tahoma" w:cs="Tahoma"/>
              <w:b/>
              <w:color w:val="FF0000"/>
              <w:sz w:val="40"/>
              <w:szCs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COMPETITOR:</w:t>
          </w:r>
        </w:p>
        <w:p w14:paraId="64FD5BED" w14:textId="77777777" w:rsidR="002445A6" w:rsidRPr="002445A6" w:rsidRDefault="002445A6" w:rsidP="002445A6">
          <w:pPr>
            <w:pStyle w:val="Header"/>
            <w:rPr>
              <w:rFonts w:ascii="Tahoma" w:hAnsi="Tahoma" w:cs="Tahoma"/>
              <w:b/>
              <w:color w:val="000099"/>
              <w:sz w:val="30"/>
              <w:szCs w:val="3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445A6">
            <w:rPr>
              <w:rFonts w:ascii="Tahoma" w:hAnsi="Tahoma" w:cs="Tahoma"/>
              <w:b/>
              <w:color w:val="FF0000"/>
              <w:sz w:val="30"/>
              <w:szCs w:val="3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JURNAL PENDIDIKAN KEPELATIHAN OLAHRAGA</w:t>
          </w:r>
        </w:p>
        <w:p w14:paraId="67F0AABC" w14:textId="59790652" w:rsidR="00D81206" w:rsidRPr="00B433FB" w:rsidRDefault="00D81206" w:rsidP="00B433FB">
          <w:pPr>
            <w:pStyle w:val="Header"/>
            <w:spacing w:before="120" w:after="120" w:line="276" w:lineRule="auto"/>
            <w:rPr>
              <w:rFonts w:ascii="Barlow" w:eastAsia="MS Mincho" w:hAnsi="Barlow" w:cs="Tahoma"/>
              <w:bCs/>
              <w:color w:val="3333FF"/>
              <w:lang w:val="en-US"/>
            </w:rPr>
          </w:pPr>
          <w:r w:rsidRPr="002445A6">
            <w:rPr>
              <w:rFonts w:ascii="Barlow" w:eastAsia="MS Mincho" w:hAnsi="Barlow" w:cs="Tahoma"/>
              <w:b/>
              <w:bCs/>
              <w:color w:val="3333FF"/>
              <w:lang w:val="en-US"/>
            </w:rPr>
            <w:t xml:space="preserve">e-ISSN: 2657-0734 &amp; p-ISSN: 2085-5389 </w:t>
          </w:r>
          <w:r w:rsidRPr="002445A6">
            <w:rPr>
              <w:rFonts w:ascii="Century" w:eastAsia="MS Mincho" w:hAnsi="Century" w:cs="Tahoma"/>
              <w:color w:val="3333FF"/>
              <w:lang w:val="en-US"/>
            </w:rPr>
            <w:t>║</w:t>
          </w:r>
          <w:r w:rsidRPr="002445A6">
            <w:rPr>
              <w:rFonts w:ascii="Barlow" w:eastAsia="MS Mincho" w:hAnsi="Barlow" w:cs="Tahoma"/>
              <w:bCs/>
              <w:color w:val="3333FF"/>
              <w:lang w:val="en-US"/>
            </w:rPr>
            <w:t xml:space="preserve"> V</w:t>
          </w:r>
          <w:r w:rsidR="002445A6" w:rsidRPr="002445A6">
            <w:rPr>
              <w:rFonts w:ascii="Barlow" w:eastAsia="MS Mincho" w:hAnsi="Barlow" w:cs="Tahoma"/>
              <w:bCs/>
              <w:color w:val="3333FF"/>
              <w:lang w:val="en-US"/>
            </w:rPr>
            <w:t xml:space="preserve">olume </w:t>
          </w:r>
          <w:r w:rsidR="0090670C">
            <w:rPr>
              <w:rFonts w:ascii="Barlow" w:eastAsia="MS Mincho" w:hAnsi="Barlow" w:cs="Tahoma"/>
              <w:bCs/>
              <w:color w:val="3333FF"/>
              <w:lang w:val="en-US"/>
            </w:rPr>
            <w:t>1</w:t>
          </w:r>
          <w:r w:rsidR="00BE7703">
            <w:rPr>
              <w:rFonts w:ascii="Barlow" w:eastAsia="MS Mincho" w:hAnsi="Barlow" w:cs="Tahoma"/>
              <w:bCs/>
              <w:color w:val="3333FF"/>
              <w:lang w:val="en-US"/>
            </w:rPr>
            <w:t>7</w:t>
          </w:r>
          <w:r w:rsidRPr="002445A6">
            <w:rPr>
              <w:rFonts w:ascii="Barlow" w:eastAsia="MS Mincho" w:hAnsi="Barlow" w:cs="Tahoma"/>
              <w:bCs/>
              <w:color w:val="3333FF"/>
              <w:lang w:val="en-US"/>
            </w:rPr>
            <w:t>, N</w:t>
          </w:r>
          <w:r w:rsidR="002445A6" w:rsidRPr="002445A6">
            <w:rPr>
              <w:rFonts w:ascii="Barlow" w:eastAsia="MS Mincho" w:hAnsi="Barlow" w:cs="Tahoma"/>
              <w:bCs/>
              <w:color w:val="3333FF"/>
              <w:lang w:val="en-US"/>
            </w:rPr>
            <w:t>umber</w:t>
          </w:r>
          <w:r w:rsidRPr="002445A6">
            <w:rPr>
              <w:rFonts w:ascii="Barlow" w:eastAsia="MS Mincho" w:hAnsi="Barlow" w:cs="Tahoma"/>
              <w:bCs/>
              <w:color w:val="3333FF"/>
              <w:lang w:val="en-US"/>
            </w:rPr>
            <w:t xml:space="preserve"> </w:t>
          </w:r>
          <w:r w:rsidR="002B639C">
            <w:rPr>
              <w:rFonts w:ascii="Barlow" w:eastAsia="MS Mincho" w:hAnsi="Barlow" w:cs="Tahoma"/>
              <w:bCs/>
              <w:color w:val="3333FF"/>
              <w:lang w:val="en-US"/>
            </w:rPr>
            <w:t>2</w:t>
          </w:r>
          <w:r w:rsidRPr="002445A6">
            <w:rPr>
              <w:rFonts w:ascii="Barlow" w:eastAsia="MS Mincho" w:hAnsi="Barlow" w:cs="Tahoma"/>
              <w:bCs/>
              <w:color w:val="3333FF"/>
              <w:lang w:val="en-US"/>
            </w:rPr>
            <w:t xml:space="preserve">, </w:t>
          </w:r>
          <w:r w:rsidR="0090670C">
            <w:rPr>
              <w:rFonts w:ascii="Barlow" w:eastAsia="MS Mincho" w:hAnsi="Barlow" w:cs="Tahoma"/>
              <w:bCs/>
              <w:color w:val="3333FF"/>
              <w:lang w:val="en-US"/>
            </w:rPr>
            <w:t>202</w:t>
          </w:r>
          <w:r w:rsidR="00BE7703">
            <w:rPr>
              <w:rFonts w:ascii="Barlow" w:eastAsia="MS Mincho" w:hAnsi="Barlow" w:cs="Tahoma"/>
              <w:bCs/>
              <w:color w:val="3333FF"/>
              <w:lang w:val="en-US"/>
            </w:rPr>
            <w:t>5</w:t>
          </w:r>
          <w:r w:rsidRPr="002445A6">
            <w:rPr>
              <w:rFonts w:ascii="Barlow" w:eastAsia="MS Mincho" w:hAnsi="Barlow" w:cs="Tahoma"/>
              <w:bCs/>
              <w:color w:val="3333FF"/>
              <w:lang w:val="en-US"/>
            </w:rPr>
            <w:t xml:space="preserve"> </w:t>
          </w:r>
          <w:r w:rsidR="002445A6" w:rsidRPr="002445A6">
            <w:rPr>
              <w:rFonts w:ascii="Century" w:eastAsia="MS Mincho" w:hAnsi="Century" w:cs="Tahoma"/>
              <w:bCs/>
              <w:color w:val="3333FF"/>
              <w:lang w:val="en-US"/>
            </w:rPr>
            <w:t>║</w:t>
          </w:r>
          <w:r w:rsidRPr="002445A6">
            <w:rPr>
              <w:rFonts w:ascii="Barlow" w:eastAsia="MS Mincho" w:hAnsi="Barlow" w:cs="Tahoma"/>
              <w:bCs/>
              <w:color w:val="3333FF"/>
              <w:lang w:val="en-US"/>
            </w:rPr>
            <w:t>P.</w:t>
          </w:r>
          <w:r w:rsidR="00AB28AB">
            <w:rPr>
              <w:rFonts w:ascii="Barlow" w:eastAsia="MS Mincho" w:hAnsi="Barlow" w:cs="Tahoma"/>
              <w:bCs/>
              <w:color w:val="3333FF"/>
              <w:lang w:val="en-US"/>
            </w:rPr>
            <w:t>1055</w:t>
          </w:r>
          <w:r w:rsidRPr="002445A6">
            <w:rPr>
              <w:rFonts w:ascii="Barlow" w:eastAsia="MS Mincho" w:hAnsi="Barlow" w:cs="Tahoma"/>
              <w:bCs/>
              <w:color w:val="3333FF"/>
              <w:lang w:val="en-US"/>
            </w:rPr>
            <w:t>-</w:t>
          </w:r>
          <w:r w:rsidR="00AB28AB">
            <w:rPr>
              <w:rFonts w:ascii="Barlow" w:eastAsia="MS Mincho" w:hAnsi="Barlow" w:cs="Tahoma"/>
              <w:bCs/>
              <w:color w:val="3333FF"/>
              <w:lang w:val="en-US"/>
            </w:rPr>
            <w:t>106</w:t>
          </w:r>
          <w:r w:rsidR="000301BD">
            <w:rPr>
              <w:rFonts w:ascii="Barlow" w:eastAsia="MS Mincho" w:hAnsi="Barlow" w:cs="Tahoma"/>
              <w:bCs/>
              <w:color w:val="3333FF"/>
              <w:lang w:val="en-US"/>
            </w:rPr>
            <w:t>6</w:t>
          </w:r>
        </w:p>
      </w:tc>
    </w:tr>
  </w:tbl>
  <w:p w14:paraId="30FE253F" w14:textId="77777777" w:rsidR="00111933" w:rsidRPr="00C217F1" w:rsidRDefault="00111933" w:rsidP="0073000D">
    <w:pPr>
      <w:spacing w:after="0" w:line="240" w:lineRule="auto"/>
      <w:rPr>
        <w:rFonts w:ascii="Times New Roman" w:eastAsia="Times New Roman" w:hAnsi="Times New Roman" w:cs="Times New Roman"/>
        <w:sz w:val="24"/>
        <w:szCs w:val="24"/>
        <w:lang w:val="en-ID" w:eastAsia="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A23A8"/>
    <w:multiLevelType w:val="hybridMultilevel"/>
    <w:tmpl w:val="57D4E88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868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2NDI1sbQ0MLYwMDRW0lEKTi0uzszPAykwNKsFABLJ4zItAAAA"/>
  </w:docVars>
  <w:rsids>
    <w:rsidRoot w:val="00D73740"/>
    <w:rsid w:val="000301BD"/>
    <w:rsid w:val="000357B5"/>
    <w:rsid w:val="00044402"/>
    <w:rsid w:val="0006726B"/>
    <w:rsid w:val="0007366E"/>
    <w:rsid w:val="00074030"/>
    <w:rsid w:val="000921A8"/>
    <w:rsid w:val="00094E8B"/>
    <w:rsid w:val="000A1739"/>
    <w:rsid w:val="000D3C9E"/>
    <w:rsid w:val="000E5245"/>
    <w:rsid w:val="000F6C7D"/>
    <w:rsid w:val="00111933"/>
    <w:rsid w:val="0015721D"/>
    <w:rsid w:val="00160103"/>
    <w:rsid w:val="0017585A"/>
    <w:rsid w:val="001A3C66"/>
    <w:rsid w:val="001B52A6"/>
    <w:rsid w:val="001C3471"/>
    <w:rsid w:val="001E6A7E"/>
    <w:rsid w:val="00220DBC"/>
    <w:rsid w:val="002445A6"/>
    <w:rsid w:val="002446EA"/>
    <w:rsid w:val="002559EF"/>
    <w:rsid w:val="002849BC"/>
    <w:rsid w:val="00286DB0"/>
    <w:rsid w:val="00291D41"/>
    <w:rsid w:val="002A3C18"/>
    <w:rsid w:val="002B639C"/>
    <w:rsid w:val="002C6CA3"/>
    <w:rsid w:val="002D654B"/>
    <w:rsid w:val="002D7466"/>
    <w:rsid w:val="002F289D"/>
    <w:rsid w:val="002F2D9E"/>
    <w:rsid w:val="0033271F"/>
    <w:rsid w:val="003575C7"/>
    <w:rsid w:val="003778D5"/>
    <w:rsid w:val="003920EB"/>
    <w:rsid w:val="00406888"/>
    <w:rsid w:val="00421DA2"/>
    <w:rsid w:val="004355A7"/>
    <w:rsid w:val="00466B9C"/>
    <w:rsid w:val="00483CFC"/>
    <w:rsid w:val="0049781E"/>
    <w:rsid w:val="004F682A"/>
    <w:rsid w:val="0051000E"/>
    <w:rsid w:val="00520987"/>
    <w:rsid w:val="00521894"/>
    <w:rsid w:val="0052620C"/>
    <w:rsid w:val="005700FF"/>
    <w:rsid w:val="00574B4A"/>
    <w:rsid w:val="00583102"/>
    <w:rsid w:val="005847FB"/>
    <w:rsid w:val="005B6DF5"/>
    <w:rsid w:val="005F6DEC"/>
    <w:rsid w:val="00605CA6"/>
    <w:rsid w:val="00632274"/>
    <w:rsid w:val="006327ED"/>
    <w:rsid w:val="00662977"/>
    <w:rsid w:val="006629B5"/>
    <w:rsid w:val="00691C7B"/>
    <w:rsid w:val="00693200"/>
    <w:rsid w:val="006E3CAA"/>
    <w:rsid w:val="00704410"/>
    <w:rsid w:val="007530E7"/>
    <w:rsid w:val="00761C42"/>
    <w:rsid w:val="00765397"/>
    <w:rsid w:val="00771506"/>
    <w:rsid w:val="00775810"/>
    <w:rsid w:val="007B6FD7"/>
    <w:rsid w:val="007F4B85"/>
    <w:rsid w:val="00807AA6"/>
    <w:rsid w:val="008727C5"/>
    <w:rsid w:val="00877D4A"/>
    <w:rsid w:val="00881737"/>
    <w:rsid w:val="008C3696"/>
    <w:rsid w:val="008E223C"/>
    <w:rsid w:val="0090670C"/>
    <w:rsid w:val="00967F5C"/>
    <w:rsid w:val="009A1FC4"/>
    <w:rsid w:val="009C6D56"/>
    <w:rsid w:val="009F34DC"/>
    <w:rsid w:val="00A139C4"/>
    <w:rsid w:val="00A167E8"/>
    <w:rsid w:val="00A25C35"/>
    <w:rsid w:val="00A53B5A"/>
    <w:rsid w:val="00A65252"/>
    <w:rsid w:val="00A86D87"/>
    <w:rsid w:val="00AA5CA0"/>
    <w:rsid w:val="00AB28AB"/>
    <w:rsid w:val="00AC5278"/>
    <w:rsid w:val="00B0172A"/>
    <w:rsid w:val="00B12FCB"/>
    <w:rsid w:val="00B24B1F"/>
    <w:rsid w:val="00B30CD7"/>
    <w:rsid w:val="00B35125"/>
    <w:rsid w:val="00B433FB"/>
    <w:rsid w:val="00B6044C"/>
    <w:rsid w:val="00B73B98"/>
    <w:rsid w:val="00B914DF"/>
    <w:rsid w:val="00BB6C2F"/>
    <w:rsid w:val="00BE2471"/>
    <w:rsid w:val="00BE7703"/>
    <w:rsid w:val="00C10355"/>
    <w:rsid w:val="00C13FDD"/>
    <w:rsid w:val="00C17A86"/>
    <w:rsid w:val="00C27CA9"/>
    <w:rsid w:val="00C36064"/>
    <w:rsid w:val="00C44E95"/>
    <w:rsid w:val="00C75026"/>
    <w:rsid w:val="00C97F2E"/>
    <w:rsid w:val="00CB3942"/>
    <w:rsid w:val="00CE65AF"/>
    <w:rsid w:val="00D02FA7"/>
    <w:rsid w:val="00D03AB0"/>
    <w:rsid w:val="00D42DB5"/>
    <w:rsid w:val="00D461A0"/>
    <w:rsid w:val="00D71D36"/>
    <w:rsid w:val="00D73740"/>
    <w:rsid w:val="00D75F4A"/>
    <w:rsid w:val="00D81206"/>
    <w:rsid w:val="00DB288F"/>
    <w:rsid w:val="00DC6D2C"/>
    <w:rsid w:val="00DF22D3"/>
    <w:rsid w:val="00E066D4"/>
    <w:rsid w:val="00E15FC5"/>
    <w:rsid w:val="00E30E16"/>
    <w:rsid w:val="00E32914"/>
    <w:rsid w:val="00E80CA9"/>
    <w:rsid w:val="00EA13C2"/>
    <w:rsid w:val="00EA1680"/>
    <w:rsid w:val="00EA2A5B"/>
    <w:rsid w:val="00EB564A"/>
    <w:rsid w:val="00EC7903"/>
    <w:rsid w:val="00EF7B87"/>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0CE11"/>
  <w15:docId w15:val="{4F67A42B-EFD9-4A48-BCC8-2A3F11A2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40"/>
    <w:rPr>
      <w:rFonts w:ascii="Calibri" w:eastAsia="Calibri" w:hAnsi="Calibri" w:cs="Arial"/>
      <w:lang w:val="id-ID"/>
    </w:rPr>
  </w:style>
  <w:style w:type="paragraph" w:styleId="Heading3">
    <w:name w:val="heading 3"/>
    <w:basedOn w:val="Normal"/>
    <w:next w:val="Normal"/>
    <w:link w:val="Heading3Char"/>
    <w:uiPriority w:val="9"/>
    <w:unhideWhenUsed/>
    <w:qFormat/>
    <w:rsid w:val="008727C5"/>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3740"/>
    <w:pPr>
      <w:tabs>
        <w:tab w:val="center" w:pos="4513"/>
        <w:tab w:val="right" w:pos="9026"/>
      </w:tabs>
      <w:spacing w:after="0" w:line="240" w:lineRule="auto"/>
    </w:pPr>
  </w:style>
  <w:style w:type="character" w:customStyle="1" w:styleId="HeaderChar">
    <w:name w:val="Header Char"/>
    <w:basedOn w:val="DefaultParagraphFont"/>
    <w:link w:val="Header"/>
    <w:rsid w:val="00D73740"/>
    <w:rPr>
      <w:rFonts w:ascii="Calibri" w:eastAsia="Calibri" w:hAnsi="Calibri" w:cs="Arial"/>
      <w:lang w:val="id-ID"/>
    </w:rPr>
  </w:style>
  <w:style w:type="paragraph" w:styleId="Footer">
    <w:name w:val="footer"/>
    <w:basedOn w:val="Normal"/>
    <w:link w:val="FooterChar"/>
    <w:uiPriority w:val="99"/>
    <w:unhideWhenUsed/>
    <w:rsid w:val="00D73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40"/>
    <w:rPr>
      <w:rFonts w:ascii="Calibri" w:eastAsia="Calibri" w:hAnsi="Calibri" w:cs="Arial"/>
      <w:lang w:val="id-ID"/>
    </w:rPr>
  </w:style>
  <w:style w:type="table" w:styleId="TableGrid">
    <w:name w:val="Table Grid"/>
    <w:basedOn w:val="TableNormal"/>
    <w:uiPriority w:val="59"/>
    <w:qFormat/>
    <w:rsid w:val="00D73740"/>
    <w:pPr>
      <w:spacing w:after="0" w:line="240" w:lineRule="auto"/>
    </w:pPr>
    <w:rPr>
      <w:rFonts w:ascii="Times New Arabic" w:eastAsia="Calibri" w:hAnsi="Times New Arabic" w:cs="Arial"/>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3740"/>
    <w:rPr>
      <w:color w:val="0563C1"/>
      <w:u w:val="single"/>
    </w:rPr>
  </w:style>
  <w:style w:type="character" w:styleId="Strong">
    <w:name w:val="Strong"/>
    <w:uiPriority w:val="22"/>
    <w:qFormat/>
    <w:rsid w:val="00D73740"/>
    <w:rPr>
      <w:b/>
      <w:bCs/>
    </w:rPr>
  </w:style>
  <w:style w:type="character" w:styleId="Emphasis">
    <w:name w:val="Emphasis"/>
    <w:uiPriority w:val="20"/>
    <w:qFormat/>
    <w:rsid w:val="00D73740"/>
    <w:rPr>
      <w:i/>
      <w:iCs/>
    </w:rPr>
  </w:style>
  <w:style w:type="paragraph" w:styleId="NormalWeb">
    <w:name w:val="Normal (Web)"/>
    <w:basedOn w:val="Normal"/>
    <w:uiPriority w:val="99"/>
    <w:unhideWhenUsed/>
    <w:rsid w:val="00D737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73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40"/>
    <w:rPr>
      <w:rFonts w:ascii="Tahoma" w:eastAsia="Calibri" w:hAnsi="Tahoma" w:cs="Tahoma"/>
      <w:sz w:val="16"/>
      <w:szCs w:val="16"/>
      <w:lang w:val="id-ID"/>
    </w:rPr>
  </w:style>
  <w:style w:type="character" w:styleId="UnresolvedMention">
    <w:name w:val="Unresolved Mention"/>
    <w:basedOn w:val="DefaultParagraphFont"/>
    <w:uiPriority w:val="99"/>
    <w:semiHidden/>
    <w:unhideWhenUsed/>
    <w:rsid w:val="00967F5C"/>
    <w:rPr>
      <w:color w:val="605E5C"/>
      <w:shd w:val="clear" w:color="auto" w:fill="E1DFDD"/>
    </w:rPr>
  </w:style>
  <w:style w:type="character" w:customStyle="1" w:styleId="Heading3Char">
    <w:name w:val="Heading 3 Char"/>
    <w:basedOn w:val="DefaultParagraphFont"/>
    <w:link w:val="Heading3"/>
    <w:uiPriority w:val="9"/>
    <w:rsid w:val="008727C5"/>
    <w:rPr>
      <w:rFonts w:asciiTheme="majorHAnsi" w:eastAsiaTheme="majorEastAsia" w:hAnsiTheme="majorHAnsi" w:cstheme="majorBidi"/>
      <w:b/>
      <w:bCs/>
      <w:noProof/>
      <w:color w:val="4F81BD" w:themeColor="accent1"/>
      <w:sz w:val="24"/>
      <w:szCs w:val="24"/>
      <w:lang w:val="id-ID" w:eastAsia="en-ID"/>
    </w:rPr>
  </w:style>
  <w:style w:type="paragraph" w:styleId="ListParagraph">
    <w:name w:val="List Paragraph"/>
    <w:basedOn w:val="Normal"/>
    <w:uiPriority w:val="34"/>
    <w:qFormat/>
    <w:rsid w:val="00E06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47699">
      <w:bodyDiv w:val="1"/>
      <w:marLeft w:val="0"/>
      <w:marRight w:val="0"/>
      <w:marTop w:val="0"/>
      <w:marBottom w:val="0"/>
      <w:divBdr>
        <w:top w:val="none" w:sz="0" w:space="0" w:color="auto"/>
        <w:left w:val="none" w:sz="0" w:space="0" w:color="auto"/>
        <w:bottom w:val="none" w:sz="0" w:space="0" w:color="auto"/>
        <w:right w:val="none" w:sz="0" w:space="0" w:color="auto"/>
      </w:divBdr>
    </w:div>
    <w:div w:id="927616386">
      <w:bodyDiv w:val="1"/>
      <w:marLeft w:val="0"/>
      <w:marRight w:val="0"/>
      <w:marTop w:val="0"/>
      <w:marBottom w:val="0"/>
      <w:divBdr>
        <w:top w:val="none" w:sz="0" w:space="0" w:color="auto"/>
        <w:left w:val="none" w:sz="0" w:space="0" w:color="auto"/>
        <w:bottom w:val="none" w:sz="0" w:space="0" w:color="auto"/>
        <w:right w:val="none" w:sz="0" w:space="0" w:color="auto"/>
      </w:divBdr>
    </w:div>
    <w:div w:id="10711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3rahmaazizah@gmail.com1" TargetMode="External"/><Relationship Id="rId13" Type="http://schemas.openxmlformats.org/officeDocument/2006/relationships/hyperlink" Target="https://doi.org/10.1007/s11125-008-9055-0" TargetMode="External"/><Relationship Id="rId18" Type="http://schemas.openxmlformats.org/officeDocument/2006/relationships/hyperlink" Target="https://doi.org/10.1177/1356336X2094442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20527/multilateral.v18i2.7623" TargetMode="External"/><Relationship Id="rId7" Type="http://schemas.openxmlformats.org/officeDocument/2006/relationships/endnotes" Target="endnotes.xml"/><Relationship Id="rId12" Type="http://schemas.openxmlformats.org/officeDocument/2006/relationships/hyperlink" Target="https://doi.org/10.1007/s10833-005-1298-4" TargetMode="External"/><Relationship Id="rId17" Type="http://schemas.openxmlformats.org/officeDocument/2006/relationships/hyperlink" Target="https://doi.org/10.1177/074193251036124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4257/gjhssgvol23is11pg71" TargetMode="External"/><Relationship Id="rId20" Type="http://schemas.openxmlformats.org/officeDocument/2006/relationships/hyperlink" Target="https://doi.org/https:/doi.org/10.31219/osf.io/svu7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9184/kdma.v13i1.3132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888/pcd10.120275" TargetMode="External"/><Relationship Id="rId23" Type="http://schemas.openxmlformats.org/officeDocument/2006/relationships/hyperlink" Target="https://doi.org/10.20527/mpj.v1i1.476" TargetMode="External"/><Relationship Id="rId28" Type="http://schemas.openxmlformats.org/officeDocument/2006/relationships/footer" Target="footer2.xml"/><Relationship Id="rId10" Type="http://schemas.openxmlformats.org/officeDocument/2006/relationships/hyperlink" Target="mailto:recky.haffyandi@ulm.ac.id3" TargetMode="External"/><Relationship Id="rId19" Type="http://schemas.openxmlformats.org/officeDocument/2006/relationships/hyperlink" Target="https://doi.org/10.20527/mpj.v2i1.104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hmadi@ulm.ac.id2" TargetMode="External"/><Relationship Id="rId14" Type="http://schemas.openxmlformats.org/officeDocument/2006/relationships/hyperlink" Target="https://doi.org/10.1123/apaq.24.2.103" TargetMode="External"/><Relationship Id="rId22" Type="http://schemas.openxmlformats.org/officeDocument/2006/relationships/hyperlink" Target="https://doi.org/10.3390/children9010108"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mailto:903rahmaazizah@gmail.com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903rahmaazizah@gmail.com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337D-DD4D-47BB-B98B-16EA88BD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10051</Words>
  <Characters>57292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35</cp:revision>
  <cp:lastPrinted>2025-07-02T09:12:00Z</cp:lastPrinted>
  <dcterms:created xsi:type="dcterms:W3CDTF">2024-01-18T13:47:00Z</dcterms:created>
  <dcterms:modified xsi:type="dcterms:W3CDTF">2025-07-20T01:53:00Z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c2bbdc2d0a2b74e4062e41fc8f17c59f2a332c2e2dbc080a01a9ee11c4697b0c</vt:lpwstr>
  </property>
</Properties>
</file>